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4FA5B" w14:textId="0704270C" w:rsidR="00FD7ADE" w:rsidRPr="00FD7ADE" w:rsidRDefault="00FD7ADE" w:rsidP="00F712A3">
      <w:pPr>
        <w:spacing w:before="120"/>
        <w:ind w:right="-567"/>
        <w:jc w:val="both"/>
      </w:pPr>
      <w:proofErr w:type="spellStart"/>
      <w:r>
        <w:t>На</w:t>
      </w:r>
      <w:proofErr w:type="spellEnd"/>
      <w:r>
        <w:t xml:space="preserve"> </w:t>
      </w:r>
      <w:proofErr w:type="spellStart"/>
      <w:r>
        <w:t>основу</w:t>
      </w:r>
      <w:proofErr w:type="spellEnd"/>
      <w:r>
        <w:t xml:space="preserve"> </w:t>
      </w:r>
      <w:proofErr w:type="spellStart"/>
      <w:r>
        <w:t>Решења</w:t>
      </w:r>
      <w:proofErr w:type="spellEnd"/>
      <w:r>
        <w:t xml:space="preserve"> о </w:t>
      </w:r>
      <w:proofErr w:type="spellStart"/>
      <w:r>
        <w:t>банкротству</w:t>
      </w:r>
      <w:proofErr w:type="spellEnd"/>
      <w:r w:rsidR="001E4BAE">
        <w:t xml:space="preserve"> </w:t>
      </w:r>
      <w:proofErr w:type="spellStart"/>
      <w:r>
        <w:t>стечајног</w:t>
      </w:r>
      <w:proofErr w:type="spellEnd"/>
      <w:r>
        <w:t xml:space="preserve"> </w:t>
      </w:r>
      <w:proofErr w:type="spellStart"/>
      <w:r>
        <w:t>судије</w:t>
      </w:r>
      <w:proofErr w:type="spellEnd"/>
      <w:r>
        <w:t xml:space="preserve"> </w:t>
      </w:r>
      <w:proofErr w:type="spellStart"/>
      <w:r>
        <w:t>Прив</w:t>
      </w:r>
      <w:r w:rsidR="00FE7FDB">
        <w:t>редног</w:t>
      </w:r>
      <w:proofErr w:type="spellEnd"/>
      <w:r w:rsidR="00FE7FDB">
        <w:t xml:space="preserve"> </w:t>
      </w:r>
      <w:proofErr w:type="spellStart"/>
      <w:proofErr w:type="gramStart"/>
      <w:r w:rsidR="00FE7FDB">
        <w:t>суда</w:t>
      </w:r>
      <w:proofErr w:type="spellEnd"/>
      <w:r w:rsidR="00FE7FDB">
        <w:t xml:space="preserve"> </w:t>
      </w:r>
      <w:r w:rsidR="00AC2B18">
        <w:t xml:space="preserve"> </w:t>
      </w:r>
      <w:r w:rsidR="00FE7FDB">
        <w:t>у</w:t>
      </w:r>
      <w:proofErr w:type="gramEnd"/>
      <w:r w:rsidR="00FE7FDB">
        <w:t xml:space="preserve"> </w:t>
      </w:r>
      <w:r w:rsidR="00FE7FDB">
        <w:rPr>
          <w:lang w:val="sr-Cyrl-RS"/>
        </w:rPr>
        <w:t>Зрењанину</w:t>
      </w:r>
      <w:r w:rsidR="000B37BB">
        <w:t xml:space="preserve"> </w:t>
      </w:r>
      <w:proofErr w:type="spellStart"/>
      <w:r w:rsidR="000B37BB">
        <w:t>Ст</w:t>
      </w:r>
      <w:proofErr w:type="spellEnd"/>
      <w:r w:rsidR="000B37BB">
        <w:t xml:space="preserve">. </w:t>
      </w:r>
      <w:r w:rsidR="00452483">
        <w:t>8</w:t>
      </w:r>
      <w:r w:rsidR="0024436A">
        <w:t>/2023</w:t>
      </w:r>
      <w:r>
        <w:t xml:space="preserve"> </w:t>
      </w:r>
      <w:proofErr w:type="spellStart"/>
      <w:r>
        <w:t>од</w:t>
      </w:r>
      <w:proofErr w:type="spellEnd"/>
      <w:r>
        <w:t xml:space="preserve"> </w:t>
      </w:r>
      <w:r w:rsidR="00452483">
        <w:t>22</w:t>
      </w:r>
      <w:r w:rsidR="00BC45B9" w:rsidRPr="00BC45B9">
        <w:t>.04.2024</w:t>
      </w:r>
      <w:r>
        <w:t xml:space="preserve">. </w:t>
      </w:r>
      <w:proofErr w:type="spellStart"/>
      <w:r>
        <w:t>годи</w:t>
      </w:r>
      <w:r w:rsidR="000B37BB">
        <w:t>не</w:t>
      </w:r>
      <w:proofErr w:type="spellEnd"/>
      <w:r w:rsidR="000B37BB">
        <w:t xml:space="preserve"> </w:t>
      </w:r>
      <w:proofErr w:type="spellStart"/>
      <w:r w:rsidR="000B37BB">
        <w:t>које</w:t>
      </w:r>
      <w:proofErr w:type="spellEnd"/>
      <w:r w:rsidR="000B37BB">
        <w:t xml:space="preserve"> </w:t>
      </w:r>
      <w:proofErr w:type="spellStart"/>
      <w:r w:rsidR="000B37BB">
        <w:t>је</w:t>
      </w:r>
      <w:proofErr w:type="spellEnd"/>
      <w:r w:rsidR="000B37BB">
        <w:t xml:space="preserve"> </w:t>
      </w:r>
      <w:proofErr w:type="spellStart"/>
      <w:r w:rsidR="000B37BB">
        <w:t>правоснажно</w:t>
      </w:r>
      <w:proofErr w:type="spellEnd"/>
      <w:r w:rsidR="000B37BB">
        <w:t xml:space="preserve"> </w:t>
      </w:r>
      <w:proofErr w:type="spellStart"/>
      <w:r w:rsidR="000B37BB">
        <w:t>од</w:t>
      </w:r>
      <w:proofErr w:type="spellEnd"/>
      <w:r w:rsidR="000B37BB">
        <w:t xml:space="preserve"> </w:t>
      </w:r>
      <w:proofErr w:type="spellStart"/>
      <w:r w:rsidR="000B37BB">
        <w:t>дана</w:t>
      </w:r>
      <w:proofErr w:type="spellEnd"/>
      <w:r w:rsidR="000B37BB">
        <w:t xml:space="preserve"> </w:t>
      </w:r>
      <w:r w:rsidR="00BC45B9" w:rsidRPr="00BC45B9">
        <w:t>03.05.2024</w:t>
      </w:r>
      <w:r>
        <w:t xml:space="preserve">. </w:t>
      </w:r>
      <w:proofErr w:type="spellStart"/>
      <w:r>
        <w:t>године</w:t>
      </w:r>
      <w:proofErr w:type="spellEnd"/>
      <w:r>
        <w:t xml:space="preserve"> и у </w:t>
      </w:r>
      <w:proofErr w:type="spellStart"/>
      <w:r>
        <w:t>складу</w:t>
      </w:r>
      <w:proofErr w:type="spellEnd"/>
      <w:r>
        <w:t xml:space="preserve"> </w:t>
      </w:r>
      <w:proofErr w:type="spellStart"/>
      <w:proofErr w:type="gramStart"/>
      <w:r>
        <w:t>са</w:t>
      </w:r>
      <w:proofErr w:type="spellEnd"/>
      <w:r>
        <w:t xml:space="preserve">  </w:t>
      </w:r>
      <w:proofErr w:type="spellStart"/>
      <w:r>
        <w:t>члано</w:t>
      </w:r>
      <w:r w:rsidR="00275F3E">
        <w:t>м</w:t>
      </w:r>
      <w:proofErr w:type="spellEnd"/>
      <w:proofErr w:type="gramEnd"/>
      <w:r>
        <w:t xml:space="preserve"> 131.,</w:t>
      </w:r>
      <w:r>
        <w:rPr>
          <w:lang w:val="sr-Latn-CS"/>
        </w:rPr>
        <w:t xml:space="preserve"> </w:t>
      </w:r>
      <w:r>
        <w:t>132.</w:t>
      </w:r>
      <w:r w:rsidR="001E4BAE">
        <w:t>,</w:t>
      </w:r>
      <w:r>
        <w:t xml:space="preserve"> 133. </w:t>
      </w:r>
      <w:proofErr w:type="spellStart"/>
      <w:r>
        <w:rPr>
          <w:lang w:val="sr-Latn-CS"/>
        </w:rPr>
        <w:t>Закона</w:t>
      </w:r>
      <w:proofErr w:type="spellEnd"/>
      <w:r>
        <w:rPr>
          <w:lang w:val="sr-Latn-CS"/>
        </w:rPr>
        <w:t xml:space="preserve"> о </w:t>
      </w:r>
      <w:proofErr w:type="spellStart"/>
      <w:r>
        <w:rPr>
          <w:lang w:val="sr-Latn-CS"/>
        </w:rPr>
        <w:t>стеча</w:t>
      </w:r>
      <w:r>
        <w:t>ју</w:t>
      </w:r>
      <w:proofErr w:type="spellEnd"/>
      <w:r>
        <w:rPr>
          <w:lang w:val="sr-Latn-CS"/>
        </w:rPr>
        <w:t xml:space="preserve"> (</w:t>
      </w:r>
      <w:r w:rsidR="00755107">
        <w:t>"</w:t>
      </w:r>
      <w:proofErr w:type="spellStart"/>
      <w:r w:rsidR="00755107">
        <w:rPr>
          <w:lang w:val="sr-Cyrl-RS"/>
        </w:rPr>
        <w:t>Сл</w:t>
      </w:r>
      <w:proofErr w:type="spellEnd"/>
      <w:r>
        <w:t xml:space="preserve">. </w:t>
      </w:r>
      <w:r w:rsidR="00755107">
        <w:rPr>
          <w:lang w:val="sr-Cyrl-RS"/>
        </w:rPr>
        <w:t>гласник</w:t>
      </w:r>
      <w:r w:rsidR="00755107">
        <w:t xml:space="preserve"> РС", </w:t>
      </w:r>
      <w:proofErr w:type="spellStart"/>
      <w:r w:rsidR="00755107">
        <w:t>бр</w:t>
      </w:r>
      <w:proofErr w:type="spellEnd"/>
      <w:r w:rsidR="00755107">
        <w:t>.</w:t>
      </w:r>
      <w:r>
        <w:t xml:space="preserve"> 104/2009, 99/2011 </w:t>
      </w:r>
      <w:r w:rsidR="00755107">
        <w:t xml:space="preserve">- </w:t>
      </w:r>
      <w:proofErr w:type="spellStart"/>
      <w:r w:rsidR="00755107">
        <w:t>др</w:t>
      </w:r>
      <w:proofErr w:type="spellEnd"/>
      <w:r>
        <w:t xml:space="preserve">. </w:t>
      </w:r>
      <w:r w:rsidR="00755107">
        <w:rPr>
          <w:lang w:val="sr-Cyrl-RS"/>
        </w:rPr>
        <w:t>закон</w:t>
      </w:r>
      <w:r>
        <w:t xml:space="preserve">, 71/2012 - </w:t>
      </w:r>
      <w:r w:rsidR="00755107">
        <w:rPr>
          <w:lang w:val="sr-Cyrl-RS"/>
        </w:rPr>
        <w:t>одлука</w:t>
      </w:r>
      <w:r w:rsidR="00755107">
        <w:t xml:space="preserve"> УС</w:t>
      </w:r>
      <w:r>
        <w:t>, 83/2014, 113/2017</w:t>
      </w:r>
      <w:r>
        <w:rPr>
          <w:lang w:val="sr-Latn-CS"/>
        </w:rPr>
        <w:t>)</w:t>
      </w:r>
      <w:r>
        <w:t xml:space="preserve"> и </w:t>
      </w:r>
      <w:proofErr w:type="spellStart"/>
      <w:r>
        <w:t>Националним</w:t>
      </w:r>
      <w:proofErr w:type="spellEnd"/>
      <w:r>
        <w:t xml:space="preserve"> </w:t>
      </w:r>
      <w:proofErr w:type="spellStart"/>
      <w:r>
        <w:t>стандардом</w:t>
      </w:r>
      <w:proofErr w:type="spellEnd"/>
      <w:r>
        <w:t xml:space="preserve"> </w:t>
      </w:r>
      <w:proofErr w:type="spellStart"/>
      <w:r>
        <w:t>број</w:t>
      </w:r>
      <w:proofErr w:type="spellEnd"/>
      <w:r>
        <w:t xml:space="preserve"> 5</w:t>
      </w:r>
      <w:r w:rsidR="000D6BA4">
        <w:rPr>
          <w:lang w:val="sr-Cyrl-RS"/>
        </w:rPr>
        <w:t>.</w:t>
      </w:r>
      <w:r>
        <w:t xml:space="preserve"> о </w:t>
      </w:r>
      <w:proofErr w:type="spellStart"/>
      <w:r>
        <w:t>начину</w:t>
      </w:r>
      <w:proofErr w:type="spellEnd"/>
      <w:r>
        <w:t xml:space="preserve"> и </w:t>
      </w:r>
      <w:proofErr w:type="spellStart"/>
      <w:r>
        <w:t>поступку</w:t>
      </w:r>
      <w:proofErr w:type="spellEnd"/>
      <w:r>
        <w:t xml:space="preserve"> </w:t>
      </w:r>
      <w:proofErr w:type="spellStart"/>
      <w:r>
        <w:t>уновчења</w:t>
      </w:r>
      <w:proofErr w:type="spellEnd"/>
      <w:r>
        <w:t xml:space="preserve"> </w:t>
      </w:r>
      <w:proofErr w:type="spellStart"/>
      <w:r>
        <w:t>имовине</w:t>
      </w:r>
      <w:proofErr w:type="spellEnd"/>
      <w:r>
        <w:t xml:space="preserve"> </w:t>
      </w:r>
      <w:proofErr w:type="spellStart"/>
      <w:r>
        <w:t>стечајног</w:t>
      </w:r>
      <w:proofErr w:type="spellEnd"/>
      <w:r>
        <w:t xml:space="preserve"> </w:t>
      </w:r>
      <w:proofErr w:type="spellStart"/>
      <w:proofErr w:type="gramStart"/>
      <w:r>
        <w:t>дужника</w:t>
      </w:r>
      <w:proofErr w:type="spellEnd"/>
      <w:r w:rsidR="004156B0">
        <w:rPr>
          <w:lang w:val="sr-Cyrl-CS"/>
        </w:rPr>
        <w:t>(</w:t>
      </w:r>
      <w:proofErr w:type="gramEnd"/>
      <w:r w:rsidR="004156B0">
        <w:t>„</w:t>
      </w:r>
      <w:r w:rsidR="004156B0">
        <w:rPr>
          <w:lang w:val="sr-Cyrl-CS"/>
        </w:rPr>
        <w:t xml:space="preserve">Службени гласник Републике Србије“, бр. </w:t>
      </w:r>
      <w:r w:rsidR="004156B0">
        <w:rPr>
          <w:lang w:val="sr-Cyrl-RS"/>
        </w:rPr>
        <w:t>62</w:t>
      </w:r>
      <w:r w:rsidR="004156B0">
        <w:rPr>
          <w:lang w:val="sr-Cyrl-CS"/>
        </w:rPr>
        <w:t>/201</w:t>
      </w:r>
      <w:r w:rsidR="004156B0">
        <w:rPr>
          <w:lang w:val="sr-Cyrl-RS"/>
        </w:rPr>
        <w:t>8</w:t>
      </w:r>
      <w:r w:rsidR="004156B0">
        <w:rPr>
          <w:lang w:val="sr-Cyrl-CS"/>
        </w:rPr>
        <w:t xml:space="preserve">), </w:t>
      </w:r>
      <w:proofErr w:type="spellStart"/>
      <w:r>
        <w:t>стечајни</w:t>
      </w:r>
      <w:proofErr w:type="spellEnd"/>
      <w:r>
        <w:t xml:space="preserve"> </w:t>
      </w:r>
      <w:proofErr w:type="spellStart"/>
      <w:r>
        <w:t>управник</w:t>
      </w:r>
      <w:proofErr w:type="spellEnd"/>
      <w:r>
        <w:t xml:space="preserve"> </w:t>
      </w:r>
      <w:proofErr w:type="spellStart"/>
      <w:r>
        <w:t>стечајног</w:t>
      </w:r>
      <w:proofErr w:type="spellEnd"/>
      <w:r>
        <w:t xml:space="preserve"> </w:t>
      </w:r>
      <w:proofErr w:type="spellStart"/>
      <w:r>
        <w:t>дужника</w:t>
      </w:r>
      <w:proofErr w:type="spellEnd"/>
    </w:p>
    <w:p w14:paraId="6D354BC0" w14:textId="77777777" w:rsidR="00CB5988" w:rsidRPr="00FD7ADE" w:rsidRDefault="00CB5988" w:rsidP="00CB5988">
      <w:pPr>
        <w:jc w:val="both"/>
      </w:pPr>
    </w:p>
    <w:p w14:paraId="18E2960D" w14:textId="796177B5" w:rsidR="0024436A" w:rsidRPr="0024436A" w:rsidRDefault="00452483" w:rsidP="0024436A">
      <w:pPr>
        <w:ind w:firstLine="706"/>
        <w:jc w:val="center"/>
        <w:rPr>
          <w:b/>
          <w:lang w:val="sr-Cyrl-CS"/>
        </w:rPr>
      </w:pPr>
      <w:r>
        <w:rPr>
          <w:b/>
        </w:rPr>
        <w:t>EXPERTIVA DOO ZRENJANIN</w:t>
      </w:r>
      <w:r w:rsidR="0024436A">
        <w:rPr>
          <w:b/>
          <w:lang w:val="sr-Latn-RS"/>
        </w:rPr>
        <w:t xml:space="preserve"> </w:t>
      </w:r>
      <w:r w:rsidR="0024436A" w:rsidRPr="0024436A">
        <w:rPr>
          <w:b/>
          <w:lang w:val="sr-Cyrl-CS"/>
        </w:rPr>
        <w:t xml:space="preserve">u </w:t>
      </w:r>
      <w:proofErr w:type="spellStart"/>
      <w:r w:rsidR="0024436A" w:rsidRPr="0024436A">
        <w:rPr>
          <w:b/>
          <w:lang w:val="sr-Cyrl-CS"/>
        </w:rPr>
        <w:t>stečaju</w:t>
      </w:r>
      <w:proofErr w:type="spellEnd"/>
    </w:p>
    <w:p w14:paraId="6FB4C7F0" w14:textId="18A247A5" w:rsidR="0024436A" w:rsidRPr="0096325C" w:rsidRDefault="0024436A" w:rsidP="0024436A">
      <w:pPr>
        <w:ind w:firstLine="706"/>
        <w:jc w:val="center"/>
        <w:rPr>
          <w:b/>
          <w:lang w:val="sr-Cyrl-RS"/>
        </w:rPr>
      </w:pPr>
      <w:r>
        <w:rPr>
          <w:b/>
          <w:lang w:val="sr-Cyrl-RS"/>
        </w:rPr>
        <w:t xml:space="preserve">ул </w:t>
      </w:r>
      <w:r w:rsidR="00452483">
        <w:rPr>
          <w:b/>
          <w:lang w:val="sr-Cyrl-RS"/>
        </w:rPr>
        <w:t>Доситеја Обрадовића 24</w:t>
      </w:r>
      <w:r>
        <w:rPr>
          <w:b/>
          <w:lang w:val="sr-Latn-RS"/>
        </w:rPr>
        <w:t xml:space="preserve">, </w:t>
      </w:r>
      <w:r w:rsidR="000A7B96">
        <w:rPr>
          <w:b/>
          <w:lang w:val="sr-Cyrl-RS"/>
        </w:rPr>
        <w:t>Зрењанин</w:t>
      </w:r>
    </w:p>
    <w:p w14:paraId="62E84D93" w14:textId="77777777" w:rsidR="00CB5988" w:rsidRDefault="00CB5988" w:rsidP="00CB5988">
      <w:pPr>
        <w:jc w:val="center"/>
        <w:rPr>
          <w:lang w:val="sr-Cyrl-CS"/>
        </w:rPr>
      </w:pPr>
    </w:p>
    <w:p w14:paraId="04F4ECFA" w14:textId="412AD789" w:rsidR="00CB5988" w:rsidRDefault="00CB5988" w:rsidP="00CB5988">
      <w:pPr>
        <w:jc w:val="center"/>
        <w:rPr>
          <w:b/>
          <w:lang w:val="sr-Cyrl-CS"/>
        </w:rPr>
      </w:pPr>
      <w:r>
        <w:rPr>
          <w:b/>
          <w:lang w:val="sr-Cyrl-CS"/>
        </w:rPr>
        <w:t>ОГЛАШАВА</w:t>
      </w:r>
      <w:r w:rsidR="006878E3">
        <w:rPr>
          <w:b/>
          <w:lang w:val="sr-Cyrl-CS"/>
        </w:rPr>
        <w:t>-</w:t>
      </w:r>
    </w:p>
    <w:p w14:paraId="4333EDDD" w14:textId="3D07BF6E" w:rsidR="000D6BA4" w:rsidRPr="002F5970" w:rsidRDefault="00452483" w:rsidP="001E5633">
      <w:pPr>
        <w:jc w:val="center"/>
        <w:rPr>
          <w:b/>
          <w:lang w:val="sr-Cyrl-RS"/>
        </w:rPr>
      </w:pPr>
      <w:r>
        <w:rPr>
          <w:b/>
          <w:lang w:val="sr-Cyrl-RS"/>
        </w:rPr>
        <w:t>п</w:t>
      </w:r>
      <w:proofErr w:type="spellStart"/>
      <w:r w:rsidR="00CB5988">
        <w:rPr>
          <w:b/>
          <w:lang w:val="sr-Cyrl-CS"/>
        </w:rPr>
        <w:t>родају</w:t>
      </w:r>
      <w:proofErr w:type="spellEnd"/>
      <w:r w:rsidR="00BE7C09">
        <w:rPr>
          <w:b/>
        </w:rPr>
        <w:t xml:space="preserve"> </w:t>
      </w:r>
      <w:r w:rsidR="00721C0C">
        <w:rPr>
          <w:b/>
          <w:lang w:val="sr-Cyrl-RS"/>
        </w:rPr>
        <w:t xml:space="preserve">непокретне имовине </w:t>
      </w:r>
      <w:r w:rsidR="000B37BB">
        <w:rPr>
          <w:b/>
          <w:lang w:val="sr-Cyrl-RS"/>
        </w:rPr>
        <w:t xml:space="preserve"> </w:t>
      </w:r>
      <w:r w:rsidR="000D6BA4">
        <w:rPr>
          <w:b/>
          <w:lang w:val="sr-Cyrl-RS"/>
        </w:rPr>
        <w:t>методом јавног надметања</w:t>
      </w:r>
      <w:r w:rsidR="00AC0C57">
        <w:rPr>
          <w:b/>
          <w:lang w:val="sr-Cyrl-RS"/>
        </w:rPr>
        <w:t xml:space="preserve"> </w:t>
      </w:r>
    </w:p>
    <w:p w14:paraId="323E1C50" w14:textId="77777777" w:rsidR="00AC0C57" w:rsidRDefault="00AC0C57" w:rsidP="00721C0C">
      <w:pPr>
        <w:jc w:val="center"/>
        <w:rPr>
          <w:b/>
          <w:lang w:val="sr-Cyrl-RS"/>
        </w:rPr>
      </w:pPr>
    </w:p>
    <w:p w14:paraId="78FEDB81" w14:textId="77777777" w:rsidR="00AC0C57" w:rsidRPr="00576943" w:rsidRDefault="00AC0C57" w:rsidP="00AC0C57">
      <w:pPr>
        <w:rPr>
          <w:b/>
          <w:sz w:val="28"/>
          <w:lang w:val="sr-Latn-RS"/>
        </w:rPr>
      </w:pPr>
    </w:p>
    <w:tbl>
      <w:tblPr>
        <w:tblpPr w:leftFromText="180" w:rightFromText="180" w:vertAnchor="text" w:tblpY="1"/>
        <w:tblOverlap w:val="never"/>
        <w:tblW w:w="9634" w:type="dxa"/>
        <w:tblLayout w:type="fixed"/>
        <w:tblCellMar>
          <w:top w:w="55" w:type="dxa"/>
          <w:left w:w="55" w:type="dxa"/>
          <w:bottom w:w="55" w:type="dxa"/>
          <w:right w:w="55" w:type="dxa"/>
        </w:tblCellMar>
        <w:tblLook w:val="0000" w:firstRow="0" w:lastRow="0" w:firstColumn="0" w:lastColumn="0" w:noHBand="0" w:noVBand="0"/>
      </w:tblPr>
      <w:tblGrid>
        <w:gridCol w:w="9"/>
        <w:gridCol w:w="4189"/>
        <w:gridCol w:w="1181"/>
        <w:gridCol w:w="1389"/>
        <w:gridCol w:w="571"/>
        <w:gridCol w:w="1161"/>
        <w:gridCol w:w="1134"/>
      </w:tblGrid>
      <w:tr w:rsidR="00286BF9" w14:paraId="0C50DF04" w14:textId="77777777" w:rsidTr="006878E3">
        <w:trPr>
          <w:trHeight w:val="388"/>
        </w:trPr>
        <w:tc>
          <w:tcPr>
            <w:tcW w:w="9634" w:type="dxa"/>
            <w:gridSpan w:val="7"/>
            <w:tcBorders>
              <w:top w:val="single" w:sz="4" w:space="0" w:color="auto"/>
              <w:left w:val="single" w:sz="4" w:space="0" w:color="auto"/>
              <w:bottom w:val="single" w:sz="4" w:space="0" w:color="auto"/>
              <w:right w:val="single" w:sz="4" w:space="0" w:color="auto"/>
            </w:tcBorders>
          </w:tcPr>
          <w:p w14:paraId="3B164181" w14:textId="77777777" w:rsidR="00286BF9" w:rsidRPr="006C1B96" w:rsidRDefault="00286BF9" w:rsidP="008C1C8E">
            <w:pPr>
              <w:pStyle w:val="TableContents"/>
              <w:snapToGrid w:val="0"/>
              <w:jc w:val="center"/>
              <w:rPr>
                <w:sz w:val="22"/>
                <w:lang w:val="sr-Cyrl-CS"/>
              </w:rPr>
            </w:pPr>
            <w:r w:rsidRPr="006C1B96">
              <w:rPr>
                <w:sz w:val="22"/>
                <w:lang w:val="sr-Cyrl-CS"/>
              </w:rPr>
              <w:t>Предмет продаје</w:t>
            </w:r>
          </w:p>
          <w:p w14:paraId="5FDBBF90" w14:textId="77777777" w:rsidR="00286BF9" w:rsidRDefault="00286BF9" w:rsidP="008C1C8E">
            <w:pPr>
              <w:pStyle w:val="TableContents"/>
              <w:snapToGrid w:val="0"/>
              <w:jc w:val="center"/>
              <w:rPr>
                <w:lang w:val="sr-Cyrl-CS"/>
              </w:rPr>
            </w:pPr>
          </w:p>
        </w:tc>
      </w:tr>
      <w:tr w:rsidR="008C1C8E" w14:paraId="7F2E93CC" w14:textId="77777777" w:rsidTr="006878E3">
        <w:tc>
          <w:tcPr>
            <w:tcW w:w="7339" w:type="dxa"/>
            <w:gridSpan w:val="5"/>
            <w:tcBorders>
              <w:top w:val="single" w:sz="1" w:space="0" w:color="000000"/>
              <w:left w:val="single" w:sz="1" w:space="0" w:color="000000"/>
              <w:bottom w:val="single" w:sz="1" w:space="0" w:color="000000"/>
            </w:tcBorders>
          </w:tcPr>
          <w:p w14:paraId="15885EEB" w14:textId="366F5775" w:rsidR="00286BF9" w:rsidRPr="009F1139" w:rsidRDefault="00FC7410" w:rsidP="008C1C8E">
            <w:pPr>
              <w:pStyle w:val="Pasussalistom"/>
              <w:spacing w:before="120"/>
              <w:ind w:left="70" w:hanging="20"/>
              <w:jc w:val="center"/>
              <w:rPr>
                <w:sz w:val="20"/>
                <w:lang w:val="de-DE"/>
              </w:rPr>
            </w:pPr>
            <w:r>
              <w:rPr>
                <w:sz w:val="20"/>
                <w:lang w:val="sr-Cyrl-RS"/>
              </w:rPr>
              <w:t xml:space="preserve"> Н</w:t>
            </w:r>
            <w:r w:rsidR="00286BF9" w:rsidRPr="00136004">
              <w:rPr>
                <w:sz w:val="20"/>
                <w:lang w:val="sr-Cyrl-RS"/>
              </w:rPr>
              <w:t>епокрет</w:t>
            </w:r>
            <w:r w:rsidR="00FE202F">
              <w:rPr>
                <w:sz w:val="20"/>
                <w:lang w:val="sr-Cyrl-RS"/>
              </w:rPr>
              <w:t>на имовина</w:t>
            </w:r>
            <w:r w:rsidR="009F1139">
              <w:rPr>
                <w:sz w:val="20"/>
                <w:lang w:val="sr-Cyrl-RS"/>
              </w:rPr>
              <w:t xml:space="preserve"> у Српском </w:t>
            </w:r>
            <w:proofErr w:type="spellStart"/>
            <w:r w:rsidR="009F1139">
              <w:rPr>
                <w:sz w:val="20"/>
                <w:lang w:val="sr-Cyrl-RS"/>
              </w:rPr>
              <w:t>Арадцу</w:t>
            </w:r>
            <w:proofErr w:type="spellEnd"/>
            <w:r w:rsidR="009F1139">
              <w:rPr>
                <w:sz w:val="20"/>
                <w:lang w:val="sr-Cyrl-RS"/>
              </w:rPr>
              <w:t>, ул. Бранка Радичевића</w:t>
            </w:r>
          </w:p>
        </w:tc>
        <w:tc>
          <w:tcPr>
            <w:tcW w:w="1161" w:type="dxa"/>
            <w:tcBorders>
              <w:top w:val="single" w:sz="1" w:space="0" w:color="000000"/>
              <w:left w:val="single" w:sz="1" w:space="0" w:color="000000"/>
              <w:bottom w:val="single" w:sz="2" w:space="0" w:color="000000"/>
            </w:tcBorders>
          </w:tcPr>
          <w:p w14:paraId="2BAE1545" w14:textId="77777777" w:rsidR="00286BF9" w:rsidRPr="00286BF9" w:rsidRDefault="00286BF9" w:rsidP="008C1C8E">
            <w:pPr>
              <w:pStyle w:val="TableContents"/>
              <w:snapToGrid w:val="0"/>
              <w:jc w:val="center"/>
              <w:rPr>
                <w:sz w:val="22"/>
                <w:lang w:val="sr-Cyrl-CS"/>
              </w:rPr>
            </w:pPr>
            <w:r w:rsidRPr="00286BF9">
              <w:rPr>
                <w:sz w:val="22"/>
                <w:lang w:val="sr-Cyrl-CS"/>
              </w:rPr>
              <w:t>Почетна цена (РСД)</w:t>
            </w:r>
          </w:p>
        </w:tc>
        <w:tc>
          <w:tcPr>
            <w:tcW w:w="1134" w:type="dxa"/>
            <w:tcBorders>
              <w:top w:val="single" w:sz="1" w:space="0" w:color="000000"/>
              <w:left w:val="single" w:sz="1" w:space="0" w:color="000000"/>
              <w:bottom w:val="single" w:sz="2" w:space="0" w:color="000000"/>
              <w:right w:val="single" w:sz="1" w:space="0" w:color="000000"/>
            </w:tcBorders>
          </w:tcPr>
          <w:p w14:paraId="5072BEDF" w14:textId="77777777" w:rsidR="00286BF9" w:rsidRPr="00286BF9" w:rsidRDefault="00286BF9" w:rsidP="008C1C8E">
            <w:pPr>
              <w:pStyle w:val="TableContents"/>
              <w:snapToGrid w:val="0"/>
              <w:jc w:val="center"/>
              <w:rPr>
                <w:sz w:val="22"/>
                <w:lang w:val="sr-Cyrl-CS"/>
              </w:rPr>
            </w:pPr>
            <w:r w:rsidRPr="00286BF9">
              <w:rPr>
                <w:sz w:val="22"/>
                <w:lang w:val="sr-Cyrl-CS"/>
              </w:rPr>
              <w:t>Депозит</w:t>
            </w:r>
          </w:p>
          <w:p w14:paraId="5D1163CD" w14:textId="77777777" w:rsidR="00286BF9" w:rsidRPr="00286BF9" w:rsidRDefault="00286BF9" w:rsidP="008C1C8E">
            <w:pPr>
              <w:pStyle w:val="TableContents"/>
              <w:snapToGrid w:val="0"/>
              <w:jc w:val="center"/>
              <w:rPr>
                <w:sz w:val="22"/>
                <w:lang w:val="sr-Cyrl-CS"/>
              </w:rPr>
            </w:pPr>
            <w:r w:rsidRPr="00286BF9">
              <w:rPr>
                <w:sz w:val="22"/>
                <w:lang w:val="sr-Cyrl-CS"/>
              </w:rPr>
              <w:t>(РСД)</w:t>
            </w:r>
          </w:p>
        </w:tc>
      </w:tr>
      <w:tr w:rsidR="008C1C8E" w14:paraId="400C14C1" w14:textId="77777777" w:rsidTr="006878E3">
        <w:trPr>
          <w:trHeight w:val="1988"/>
        </w:trPr>
        <w:tc>
          <w:tcPr>
            <w:tcW w:w="7339" w:type="dxa"/>
            <w:gridSpan w:val="5"/>
            <w:tcBorders>
              <w:top w:val="single" w:sz="1" w:space="0" w:color="000000"/>
              <w:left w:val="single" w:sz="1" w:space="0" w:color="000000"/>
              <w:right w:val="single" w:sz="4" w:space="0" w:color="auto"/>
            </w:tcBorders>
          </w:tcPr>
          <w:tbl>
            <w:tblPr>
              <w:tblStyle w:val="Koordinatnamreatabele"/>
              <w:tblW w:w="7131" w:type="dxa"/>
              <w:tblLayout w:type="fixed"/>
              <w:tblLook w:val="04A0" w:firstRow="1" w:lastRow="0" w:firstColumn="1" w:lastColumn="0" w:noHBand="0" w:noVBand="1"/>
            </w:tblPr>
            <w:tblGrid>
              <w:gridCol w:w="610"/>
              <w:gridCol w:w="1174"/>
              <w:gridCol w:w="988"/>
              <w:gridCol w:w="1040"/>
              <w:gridCol w:w="931"/>
              <w:gridCol w:w="718"/>
              <w:gridCol w:w="923"/>
              <w:gridCol w:w="747"/>
            </w:tblGrid>
            <w:tr w:rsidR="00B32CE6" w:rsidRPr="00136004" w14:paraId="4E220D24" w14:textId="77777777" w:rsidTr="00B32CE6">
              <w:trPr>
                <w:trHeight w:val="814"/>
              </w:trPr>
              <w:tc>
                <w:tcPr>
                  <w:tcW w:w="610" w:type="dxa"/>
                  <w:tcBorders>
                    <w:top w:val="nil"/>
                    <w:left w:val="nil"/>
                    <w:bottom w:val="single" w:sz="4" w:space="0" w:color="auto"/>
                    <w:right w:val="single" w:sz="4" w:space="0" w:color="auto"/>
                  </w:tcBorders>
                </w:tcPr>
                <w:p w14:paraId="38E901A1" w14:textId="77777777" w:rsidR="00912C08" w:rsidRPr="00136004" w:rsidRDefault="00912C08" w:rsidP="008C1C8E">
                  <w:pPr>
                    <w:pStyle w:val="Pasussalistom"/>
                    <w:framePr w:hSpace="180" w:wrap="around" w:vAnchor="text" w:hAnchor="text" w:y="1"/>
                    <w:spacing w:before="120"/>
                    <w:ind w:left="0"/>
                    <w:suppressOverlap/>
                    <w:jc w:val="center"/>
                    <w:rPr>
                      <w:sz w:val="20"/>
                      <w:lang w:val="sr-Cyrl-RS"/>
                    </w:rPr>
                  </w:pPr>
                  <w:r w:rsidRPr="00136004">
                    <w:rPr>
                      <w:sz w:val="20"/>
                      <w:lang w:val="sr-Cyrl-RS"/>
                    </w:rPr>
                    <w:t>Ред. бр.</w:t>
                  </w:r>
                </w:p>
              </w:tc>
              <w:tc>
                <w:tcPr>
                  <w:tcW w:w="1174" w:type="dxa"/>
                  <w:tcBorders>
                    <w:left w:val="single" w:sz="4" w:space="0" w:color="auto"/>
                  </w:tcBorders>
                </w:tcPr>
                <w:p w14:paraId="5DF05587" w14:textId="1607C093" w:rsidR="00912C08" w:rsidRPr="00136004" w:rsidRDefault="00912C08" w:rsidP="008C1C8E">
                  <w:pPr>
                    <w:pStyle w:val="Pasussalistom"/>
                    <w:framePr w:hSpace="180" w:wrap="around" w:vAnchor="text" w:hAnchor="text" w:y="1"/>
                    <w:spacing w:before="120"/>
                    <w:ind w:left="0"/>
                    <w:suppressOverlap/>
                    <w:jc w:val="center"/>
                    <w:rPr>
                      <w:sz w:val="20"/>
                      <w:lang w:val="sr-Cyrl-RS"/>
                    </w:rPr>
                  </w:pPr>
                  <w:r>
                    <w:rPr>
                      <w:sz w:val="20"/>
                      <w:lang w:val="sr-Cyrl-RS"/>
                    </w:rPr>
                    <w:t>Врста земљишта</w:t>
                  </w:r>
                </w:p>
              </w:tc>
              <w:tc>
                <w:tcPr>
                  <w:tcW w:w="988" w:type="dxa"/>
                </w:tcPr>
                <w:p w14:paraId="49028680" w14:textId="3FCCAA8F" w:rsidR="00912C08" w:rsidRPr="00136004" w:rsidRDefault="00912C08" w:rsidP="008C1C8E">
                  <w:pPr>
                    <w:pStyle w:val="Pasussalistom"/>
                    <w:framePr w:hSpace="180" w:wrap="around" w:vAnchor="text" w:hAnchor="text" w:y="1"/>
                    <w:spacing w:before="120"/>
                    <w:ind w:left="0"/>
                    <w:suppressOverlap/>
                    <w:jc w:val="center"/>
                    <w:rPr>
                      <w:sz w:val="20"/>
                      <w:lang w:val="sr-Cyrl-RS"/>
                    </w:rPr>
                  </w:pPr>
                  <w:r>
                    <w:rPr>
                      <w:sz w:val="20"/>
                      <w:lang w:val="sr-Cyrl-RS"/>
                    </w:rPr>
                    <w:t>Начин кориш. и кат. класа</w:t>
                  </w:r>
                </w:p>
              </w:tc>
              <w:tc>
                <w:tcPr>
                  <w:tcW w:w="1040" w:type="dxa"/>
                </w:tcPr>
                <w:p w14:paraId="680E064A" w14:textId="7F7A8F13" w:rsidR="00912C08" w:rsidRPr="00136004" w:rsidRDefault="00912C08" w:rsidP="008C1C8E">
                  <w:pPr>
                    <w:pStyle w:val="Pasussalistom"/>
                    <w:framePr w:hSpace="180" w:wrap="around" w:vAnchor="text" w:hAnchor="text" w:y="1"/>
                    <w:spacing w:before="120"/>
                    <w:ind w:left="0"/>
                    <w:suppressOverlap/>
                    <w:jc w:val="center"/>
                    <w:rPr>
                      <w:sz w:val="20"/>
                      <w:lang w:val="sr-Cyrl-RS"/>
                    </w:rPr>
                  </w:pPr>
                  <w:r>
                    <w:rPr>
                      <w:sz w:val="20"/>
                      <w:lang w:val="sr-Cyrl-RS"/>
                    </w:rPr>
                    <w:t>Кат. општина</w:t>
                  </w:r>
                </w:p>
              </w:tc>
              <w:tc>
                <w:tcPr>
                  <w:tcW w:w="931" w:type="dxa"/>
                </w:tcPr>
                <w:p w14:paraId="7D143473" w14:textId="77777777" w:rsidR="00912C08" w:rsidRPr="00136004" w:rsidRDefault="00912C08" w:rsidP="008C1C8E">
                  <w:pPr>
                    <w:pStyle w:val="Pasussalistom"/>
                    <w:framePr w:hSpace="180" w:wrap="around" w:vAnchor="text" w:hAnchor="text" w:y="1"/>
                    <w:spacing w:before="120"/>
                    <w:ind w:left="0"/>
                    <w:suppressOverlap/>
                    <w:jc w:val="center"/>
                    <w:rPr>
                      <w:sz w:val="20"/>
                      <w:lang w:val="sr-Cyrl-RS"/>
                    </w:rPr>
                  </w:pPr>
                  <w:r w:rsidRPr="00136004">
                    <w:rPr>
                      <w:sz w:val="20"/>
                      <w:lang w:val="sr-Cyrl-RS"/>
                    </w:rPr>
                    <w:t xml:space="preserve">Лист </w:t>
                  </w:r>
                  <w:proofErr w:type="spellStart"/>
                  <w:r w:rsidRPr="00136004">
                    <w:rPr>
                      <w:sz w:val="20"/>
                      <w:lang w:val="sr-Cyrl-RS"/>
                    </w:rPr>
                    <w:t>непокр</w:t>
                  </w:r>
                  <w:proofErr w:type="spellEnd"/>
                  <w:r w:rsidRPr="00136004">
                    <w:rPr>
                      <w:sz w:val="20"/>
                      <w:lang w:val="sr-Cyrl-RS"/>
                    </w:rPr>
                    <w:t>.</w:t>
                  </w:r>
                </w:p>
              </w:tc>
              <w:tc>
                <w:tcPr>
                  <w:tcW w:w="718" w:type="dxa"/>
                </w:tcPr>
                <w:p w14:paraId="0B2D0B61" w14:textId="77777777" w:rsidR="00912C08" w:rsidRPr="00136004" w:rsidRDefault="00912C08" w:rsidP="008C1C8E">
                  <w:pPr>
                    <w:pStyle w:val="Pasussalistom"/>
                    <w:framePr w:hSpace="180" w:wrap="around" w:vAnchor="text" w:hAnchor="text" w:y="1"/>
                    <w:spacing w:before="120"/>
                    <w:ind w:left="0"/>
                    <w:suppressOverlap/>
                    <w:jc w:val="center"/>
                    <w:rPr>
                      <w:sz w:val="20"/>
                      <w:lang w:val="sr-Cyrl-RS"/>
                    </w:rPr>
                  </w:pPr>
                  <w:r w:rsidRPr="00136004">
                    <w:rPr>
                      <w:sz w:val="20"/>
                      <w:lang w:val="sr-Cyrl-RS"/>
                    </w:rPr>
                    <w:t xml:space="preserve">Кат. </w:t>
                  </w:r>
                  <w:proofErr w:type="spellStart"/>
                  <w:r w:rsidRPr="00136004">
                    <w:rPr>
                      <w:sz w:val="20"/>
                      <w:lang w:val="sr-Cyrl-RS"/>
                    </w:rPr>
                    <w:t>парц</w:t>
                  </w:r>
                  <w:proofErr w:type="spellEnd"/>
                  <w:r w:rsidRPr="00136004">
                    <w:rPr>
                      <w:sz w:val="20"/>
                      <w:lang w:val="sr-Cyrl-RS"/>
                    </w:rPr>
                    <w:t>.</w:t>
                  </w:r>
                </w:p>
              </w:tc>
              <w:tc>
                <w:tcPr>
                  <w:tcW w:w="923" w:type="dxa"/>
                </w:tcPr>
                <w:p w14:paraId="3A803804" w14:textId="42BAB4E3" w:rsidR="00912C08" w:rsidRPr="000A7B96" w:rsidRDefault="000A7B96" w:rsidP="008C1C8E">
                  <w:pPr>
                    <w:pStyle w:val="Pasussalistom"/>
                    <w:framePr w:hSpace="180" w:wrap="around" w:vAnchor="text" w:hAnchor="text" w:y="1"/>
                    <w:tabs>
                      <w:tab w:val="left" w:pos="806"/>
                    </w:tabs>
                    <w:spacing w:before="120"/>
                    <w:ind w:left="0"/>
                    <w:suppressOverlap/>
                    <w:rPr>
                      <w:sz w:val="20"/>
                      <w:vertAlign w:val="superscript"/>
                      <w:lang w:val="sr-Cyrl-RS"/>
                    </w:rPr>
                  </w:pPr>
                  <w:r>
                    <w:rPr>
                      <w:sz w:val="20"/>
                      <w:lang w:val="sr-Cyrl-RS"/>
                    </w:rPr>
                    <w:t>Површ. у м</w:t>
                  </w:r>
                  <w:r>
                    <w:rPr>
                      <w:sz w:val="20"/>
                      <w:vertAlign w:val="superscript"/>
                      <w:lang w:val="sr-Cyrl-RS"/>
                    </w:rPr>
                    <w:t xml:space="preserve">2    </w:t>
                  </w:r>
                </w:p>
              </w:tc>
              <w:tc>
                <w:tcPr>
                  <w:tcW w:w="747" w:type="dxa"/>
                  <w:tcBorders>
                    <w:bottom w:val="single" w:sz="4" w:space="0" w:color="auto"/>
                    <w:right w:val="nil"/>
                  </w:tcBorders>
                </w:tcPr>
                <w:p w14:paraId="63F1CBBD" w14:textId="77777777" w:rsidR="00912C08" w:rsidRPr="00136004" w:rsidRDefault="00912C08" w:rsidP="008C1C8E">
                  <w:pPr>
                    <w:pStyle w:val="Pasussalistom"/>
                    <w:framePr w:hSpace="180" w:wrap="around" w:vAnchor="text" w:hAnchor="text" w:y="1"/>
                    <w:spacing w:before="120"/>
                    <w:ind w:left="0"/>
                    <w:suppressOverlap/>
                    <w:jc w:val="center"/>
                    <w:rPr>
                      <w:sz w:val="20"/>
                      <w:lang w:val="sr-Cyrl-RS"/>
                    </w:rPr>
                  </w:pPr>
                  <w:r w:rsidRPr="00136004">
                    <w:rPr>
                      <w:sz w:val="20"/>
                      <w:lang w:val="sr-Cyrl-RS"/>
                    </w:rPr>
                    <w:t>Обим удела</w:t>
                  </w:r>
                </w:p>
              </w:tc>
            </w:tr>
            <w:tr w:rsidR="00B32CE6" w:rsidRPr="00136004" w14:paraId="1B83F3A3" w14:textId="77777777" w:rsidTr="00B32CE6">
              <w:trPr>
                <w:trHeight w:val="1603"/>
              </w:trPr>
              <w:tc>
                <w:tcPr>
                  <w:tcW w:w="610" w:type="dxa"/>
                  <w:tcBorders>
                    <w:top w:val="single" w:sz="4" w:space="0" w:color="auto"/>
                    <w:left w:val="nil"/>
                    <w:bottom w:val="single" w:sz="4" w:space="0" w:color="auto"/>
                    <w:right w:val="single" w:sz="4" w:space="0" w:color="auto"/>
                  </w:tcBorders>
                </w:tcPr>
                <w:p w14:paraId="1F785195" w14:textId="5D9C568C" w:rsidR="00912C08" w:rsidRPr="006C1B96" w:rsidRDefault="00FC7410" w:rsidP="008C1C8E">
                  <w:pPr>
                    <w:framePr w:hSpace="180" w:wrap="around" w:vAnchor="text" w:hAnchor="text" w:y="1"/>
                    <w:suppressOverlap/>
                    <w:jc w:val="center"/>
                    <w:rPr>
                      <w:sz w:val="20"/>
                      <w:lang w:val="sr-Cyrl-RS"/>
                    </w:rPr>
                  </w:pPr>
                  <w:r w:rsidRPr="006C1B96">
                    <w:rPr>
                      <w:sz w:val="20"/>
                      <w:lang w:val="sr-Cyrl-RS"/>
                    </w:rPr>
                    <w:t>1</w:t>
                  </w:r>
                  <w:r w:rsidR="006C1B96" w:rsidRPr="006C1B96">
                    <w:rPr>
                      <w:sz w:val="20"/>
                      <w:lang w:val="sr-Cyrl-RS"/>
                    </w:rPr>
                    <w:t>.</w:t>
                  </w:r>
                </w:p>
                <w:p w14:paraId="26D23A71" w14:textId="77777777" w:rsidR="006C1B96" w:rsidRPr="006C1B96" w:rsidRDefault="006C1B96" w:rsidP="008C1C8E">
                  <w:pPr>
                    <w:framePr w:hSpace="180" w:wrap="around" w:vAnchor="text" w:hAnchor="text" w:y="1"/>
                    <w:suppressOverlap/>
                    <w:jc w:val="center"/>
                    <w:rPr>
                      <w:sz w:val="20"/>
                      <w:lang w:val="sr-Cyrl-RS"/>
                    </w:rPr>
                  </w:pPr>
                </w:p>
                <w:p w14:paraId="0993BADD" w14:textId="77777777" w:rsidR="006C1B96" w:rsidRPr="006C1B96" w:rsidRDefault="006C1B96" w:rsidP="008C1C8E">
                  <w:pPr>
                    <w:framePr w:hSpace="180" w:wrap="around" w:vAnchor="text" w:hAnchor="text" w:y="1"/>
                    <w:suppressOverlap/>
                    <w:rPr>
                      <w:sz w:val="20"/>
                      <w:lang w:val="sr-Cyrl-RS"/>
                    </w:rPr>
                  </w:pPr>
                </w:p>
                <w:p w14:paraId="3BA9EFC5" w14:textId="238E5CBB" w:rsidR="006C1B96" w:rsidRPr="006C1B96" w:rsidRDefault="006C1B96" w:rsidP="008C1C8E">
                  <w:pPr>
                    <w:framePr w:hSpace="180" w:wrap="around" w:vAnchor="text" w:hAnchor="text" w:y="1"/>
                    <w:suppressOverlap/>
                    <w:rPr>
                      <w:sz w:val="20"/>
                      <w:lang w:val="sr-Cyrl-RS"/>
                    </w:rPr>
                  </w:pPr>
                  <w:r w:rsidRPr="006C1B96">
                    <w:rPr>
                      <w:sz w:val="20"/>
                      <w:lang w:val="sr-Cyrl-RS"/>
                    </w:rPr>
                    <w:t xml:space="preserve">  2.</w:t>
                  </w:r>
                </w:p>
                <w:p w14:paraId="5F053949" w14:textId="77777777" w:rsidR="006C1B96" w:rsidRPr="006C1B96" w:rsidRDefault="006C1B96" w:rsidP="008C1C8E">
                  <w:pPr>
                    <w:framePr w:hSpace="180" w:wrap="around" w:vAnchor="text" w:hAnchor="text" w:y="1"/>
                    <w:suppressOverlap/>
                    <w:jc w:val="center"/>
                    <w:rPr>
                      <w:sz w:val="20"/>
                      <w:lang w:val="sr-Cyrl-RS"/>
                    </w:rPr>
                  </w:pPr>
                </w:p>
                <w:p w14:paraId="1C834609" w14:textId="6E15A6D2" w:rsidR="006C1B96" w:rsidRPr="00FC7410" w:rsidRDefault="008C1C8E" w:rsidP="008C1C8E">
                  <w:pPr>
                    <w:framePr w:hSpace="180" w:wrap="around" w:vAnchor="text" w:hAnchor="text" w:y="1"/>
                    <w:suppressOverlap/>
                    <w:rPr>
                      <w:lang w:val="sr-Cyrl-RS"/>
                    </w:rPr>
                  </w:pPr>
                  <w:r>
                    <w:rPr>
                      <w:sz w:val="20"/>
                      <w:lang w:val="sr-Cyrl-RS"/>
                    </w:rPr>
                    <w:t xml:space="preserve">  </w:t>
                  </w:r>
                  <w:r w:rsidR="006C1B96" w:rsidRPr="006C1B96">
                    <w:rPr>
                      <w:sz w:val="20"/>
                      <w:lang w:val="sr-Cyrl-RS"/>
                    </w:rPr>
                    <w:t>3.</w:t>
                  </w:r>
                </w:p>
              </w:tc>
              <w:tc>
                <w:tcPr>
                  <w:tcW w:w="1174" w:type="dxa"/>
                  <w:tcBorders>
                    <w:top w:val="single" w:sz="4" w:space="0" w:color="auto"/>
                    <w:left w:val="single" w:sz="4" w:space="0" w:color="auto"/>
                    <w:bottom w:val="single" w:sz="4" w:space="0" w:color="000000"/>
                    <w:right w:val="single" w:sz="4" w:space="0" w:color="000000"/>
                  </w:tcBorders>
                  <w:shd w:val="clear" w:color="auto" w:fill="auto"/>
                  <w:vAlign w:val="center"/>
                </w:tcPr>
                <w:p w14:paraId="34B04C52" w14:textId="77777777" w:rsidR="00912C08" w:rsidRPr="006C1B96" w:rsidRDefault="007566D3" w:rsidP="008C1C8E">
                  <w:pPr>
                    <w:framePr w:hSpace="180" w:wrap="around" w:vAnchor="text" w:hAnchor="text" w:y="1"/>
                    <w:suppressOverlap/>
                    <w:rPr>
                      <w:rFonts w:ascii="Arial" w:hAnsi="Arial" w:cs="Arial"/>
                      <w:sz w:val="16"/>
                      <w:szCs w:val="22"/>
                      <w:lang w:val="sr-Cyrl-RS"/>
                    </w:rPr>
                  </w:pPr>
                  <w:r w:rsidRPr="006C1B96">
                    <w:rPr>
                      <w:rFonts w:ascii="Arial" w:hAnsi="Arial" w:cs="Arial"/>
                      <w:sz w:val="16"/>
                      <w:szCs w:val="22"/>
                      <w:lang w:val="sr-Cyrl-RS"/>
                    </w:rPr>
                    <w:t xml:space="preserve">Градско </w:t>
                  </w:r>
                  <w:proofErr w:type="spellStart"/>
                  <w:r w:rsidRPr="006C1B96">
                    <w:rPr>
                      <w:rFonts w:ascii="Arial" w:hAnsi="Arial" w:cs="Arial"/>
                      <w:sz w:val="16"/>
                      <w:szCs w:val="22"/>
                      <w:lang w:val="sr-Cyrl-RS"/>
                    </w:rPr>
                    <w:t>грађ</w:t>
                  </w:r>
                  <w:proofErr w:type="spellEnd"/>
                  <w:r w:rsidRPr="006C1B96">
                    <w:rPr>
                      <w:rFonts w:ascii="Arial" w:hAnsi="Arial" w:cs="Arial"/>
                      <w:sz w:val="16"/>
                      <w:szCs w:val="22"/>
                      <w:lang w:val="sr-Cyrl-RS"/>
                    </w:rPr>
                    <w:t>. земљиште</w:t>
                  </w:r>
                </w:p>
                <w:p w14:paraId="681D56D3" w14:textId="77777777" w:rsidR="007566D3" w:rsidRPr="006C1B96" w:rsidRDefault="007566D3" w:rsidP="008C1C8E">
                  <w:pPr>
                    <w:framePr w:hSpace="180" w:wrap="around" w:vAnchor="text" w:hAnchor="text" w:y="1"/>
                    <w:suppressOverlap/>
                    <w:rPr>
                      <w:rFonts w:ascii="Arial" w:hAnsi="Arial" w:cs="Arial"/>
                      <w:sz w:val="16"/>
                      <w:szCs w:val="22"/>
                      <w:lang w:val="sr-Cyrl-RS"/>
                    </w:rPr>
                  </w:pPr>
                  <w:r w:rsidRPr="006C1B96">
                    <w:rPr>
                      <w:rFonts w:ascii="Arial" w:hAnsi="Arial" w:cs="Arial"/>
                      <w:sz w:val="16"/>
                      <w:szCs w:val="22"/>
                      <w:lang w:val="sr-Cyrl-RS"/>
                    </w:rPr>
                    <w:t xml:space="preserve">Градско </w:t>
                  </w:r>
                  <w:proofErr w:type="spellStart"/>
                  <w:r w:rsidRPr="006C1B96">
                    <w:rPr>
                      <w:rFonts w:ascii="Arial" w:hAnsi="Arial" w:cs="Arial"/>
                      <w:sz w:val="16"/>
                      <w:szCs w:val="22"/>
                      <w:lang w:val="sr-Cyrl-RS"/>
                    </w:rPr>
                    <w:t>грађ</w:t>
                  </w:r>
                  <w:proofErr w:type="spellEnd"/>
                  <w:r w:rsidRPr="006C1B96">
                    <w:rPr>
                      <w:rFonts w:ascii="Arial" w:hAnsi="Arial" w:cs="Arial"/>
                      <w:sz w:val="16"/>
                      <w:szCs w:val="22"/>
                      <w:lang w:val="sr-Cyrl-RS"/>
                    </w:rPr>
                    <w:t>. земљиште</w:t>
                  </w:r>
                </w:p>
                <w:p w14:paraId="18419D90" w14:textId="634B54E0" w:rsidR="007566D3" w:rsidRPr="006C1B96" w:rsidRDefault="006C1B96" w:rsidP="008C1C8E">
                  <w:pPr>
                    <w:framePr w:hSpace="180" w:wrap="around" w:vAnchor="text" w:hAnchor="text" w:y="1"/>
                    <w:suppressOverlap/>
                    <w:rPr>
                      <w:rFonts w:ascii="Arial" w:hAnsi="Arial" w:cs="Arial"/>
                      <w:sz w:val="16"/>
                      <w:szCs w:val="22"/>
                      <w:lang w:val="sr-Cyrl-RS"/>
                    </w:rPr>
                  </w:pPr>
                  <w:r>
                    <w:rPr>
                      <w:rFonts w:ascii="Arial" w:hAnsi="Arial" w:cs="Arial"/>
                      <w:sz w:val="16"/>
                      <w:szCs w:val="22"/>
                      <w:lang w:val="sr-Cyrl-RS"/>
                    </w:rPr>
                    <w:t>Земљишт</w:t>
                  </w:r>
                  <w:r w:rsidRPr="006C1B96">
                    <w:rPr>
                      <w:rFonts w:ascii="Arial" w:hAnsi="Arial" w:cs="Arial"/>
                      <w:sz w:val="16"/>
                      <w:szCs w:val="22"/>
                      <w:lang w:val="sr-Cyrl-RS"/>
                    </w:rPr>
                    <w:t xml:space="preserve">е </w:t>
                  </w:r>
                  <w:r w:rsidR="007566D3" w:rsidRPr="006C1B96">
                    <w:rPr>
                      <w:rFonts w:ascii="Arial" w:hAnsi="Arial" w:cs="Arial"/>
                      <w:sz w:val="16"/>
                      <w:szCs w:val="22"/>
                      <w:lang w:val="sr-Cyrl-RS"/>
                    </w:rPr>
                    <w:t xml:space="preserve">у </w:t>
                  </w:r>
                  <w:proofErr w:type="spellStart"/>
                  <w:r w:rsidR="007566D3" w:rsidRPr="006C1B96">
                    <w:rPr>
                      <w:rFonts w:ascii="Arial" w:hAnsi="Arial" w:cs="Arial"/>
                      <w:sz w:val="16"/>
                      <w:szCs w:val="22"/>
                      <w:lang w:val="sr-Cyrl-RS"/>
                    </w:rPr>
                    <w:t>грађ</w:t>
                  </w:r>
                  <w:proofErr w:type="spellEnd"/>
                  <w:r w:rsidR="007566D3" w:rsidRPr="006C1B96">
                    <w:rPr>
                      <w:rFonts w:ascii="Arial" w:hAnsi="Arial" w:cs="Arial"/>
                      <w:sz w:val="16"/>
                      <w:szCs w:val="22"/>
                      <w:lang w:val="sr-Cyrl-RS"/>
                    </w:rPr>
                    <w:t>. подручју</w:t>
                  </w:r>
                </w:p>
                <w:p w14:paraId="5753AD48" w14:textId="1A1F7D67" w:rsidR="003422EB" w:rsidRPr="006C1B96" w:rsidRDefault="003422EB" w:rsidP="008C1C8E">
                  <w:pPr>
                    <w:framePr w:hSpace="180" w:wrap="around" w:vAnchor="text" w:hAnchor="text" w:y="1"/>
                    <w:suppressOverlap/>
                    <w:rPr>
                      <w:rFonts w:ascii="Arial" w:hAnsi="Arial" w:cs="Arial"/>
                      <w:sz w:val="16"/>
                      <w:szCs w:val="22"/>
                      <w:lang w:val="sr-Cyrl-RS"/>
                    </w:rPr>
                  </w:pPr>
                </w:p>
              </w:tc>
              <w:tc>
                <w:tcPr>
                  <w:tcW w:w="988" w:type="dxa"/>
                  <w:tcBorders>
                    <w:top w:val="single" w:sz="4" w:space="0" w:color="auto"/>
                  </w:tcBorders>
                </w:tcPr>
                <w:p w14:paraId="1C85DF04" w14:textId="190B857D" w:rsidR="007566D3" w:rsidRPr="006C1B96" w:rsidRDefault="007566D3" w:rsidP="008C1C8E">
                  <w:pPr>
                    <w:ind w:left="-117"/>
                    <w:rPr>
                      <w:rFonts w:ascii="Arial" w:hAnsi="Arial" w:cs="Arial"/>
                      <w:sz w:val="16"/>
                      <w:szCs w:val="22"/>
                      <w:lang w:val="sr-Cyrl-RS"/>
                    </w:rPr>
                  </w:pPr>
                  <w:r w:rsidRPr="006C1B96">
                    <w:rPr>
                      <w:rFonts w:ascii="Arial" w:hAnsi="Arial" w:cs="Arial"/>
                      <w:sz w:val="16"/>
                      <w:szCs w:val="22"/>
                      <w:lang w:val="sr-Cyrl-RS"/>
                    </w:rPr>
                    <w:t>Земљиште под зградом</w:t>
                  </w:r>
                </w:p>
                <w:p w14:paraId="158DFC02" w14:textId="77777777" w:rsidR="006C1B96" w:rsidRDefault="006C1B96" w:rsidP="008C1C8E">
                  <w:pPr>
                    <w:ind w:left="-117"/>
                    <w:rPr>
                      <w:rFonts w:ascii="Arial" w:hAnsi="Arial" w:cs="Arial"/>
                      <w:sz w:val="18"/>
                      <w:szCs w:val="22"/>
                      <w:lang w:val="sr-Cyrl-RS"/>
                    </w:rPr>
                  </w:pPr>
                </w:p>
                <w:p w14:paraId="114D413B" w14:textId="51B13012" w:rsidR="007566D3" w:rsidRPr="006C1B96" w:rsidRDefault="007566D3" w:rsidP="008C1C8E">
                  <w:pPr>
                    <w:ind w:left="-117"/>
                    <w:rPr>
                      <w:rFonts w:ascii="Arial" w:hAnsi="Arial" w:cs="Arial"/>
                      <w:sz w:val="16"/>
                      <w:szCs w:val="22"/>
                      <w:lang w:val="sr-Cyrl-RS"/>
                    </w:rPr>
                  </w:pPr>
                  <w:r w:rsidRPr="006C1B96">
                    <w:rPr>
                      <w:rFonts w:ascii="Arial" w:hAnsi="Arial" w:cs="Arial"/>
                      <w:sz w:val="16"/>
                      <w:szCs w:val="22"/>
                      <w:lang w:val="sr-Cyrl-RS"/>
                    </w:rPr>
                    <w:t>Земљиште уз зграду</w:t>
                  </w:r>
                </w:p>
                <w:p w14:paraId="254858C1" w14:textId="441FC173" w:rsidR="007566D3" w:rsidRPr="006C1B96" w:rsidRDefault="007566D3" w:rsidP="008C1C8E">
                  <w:pPr>
                    <w:ind w:left="-117"/>
                    <w:rPr>
                      <w:rFonts w:ascii="Arial" w:hAnsi="Arial" w:cs="Arial"/>
                      <w:sz w:val="16"/>
                      <w:szCs w:val="22"/>
                      <w:lang w:val="sr-Cyrl-RS"/>
                    </w:rPr>
                  </w:pPr>
                  <w:r w:rsidRPr="006C1B96">
                    <w:rPr>
                      <w:rFonts w:ascii="Arial" w:hAnsi="Arial" w:cs="Arial"/>
                      <w:sz w:val="16"/>
                      <w:szCs w:val="22"/>
                      <w:lang w:val="sr-Cyrl-RS"/>
                    </w:rPr>
                    <w:t>Њива 2. класе</w:t>
                  </w:r>
                </w:p>
                <w:p w14:paraId="61AD8F93" w14:textId="2947E84A" w:rsidR="00912C08" w:rsidRPr="00912C08" w:rsidRDefault="00912C08" w:rsidP="008C1C8E">
                  <w:pPr>
                    <w:pStyle w:val="Pasussalistom"/>
                    <w:framePr w:hSpace="180" w:wrap="around" w:vAnchor="text" w:hAnchor="text" w:y="1"/>
                    <w:spacing w:before="120"/>
                    <w:ind w:left="0"/>
                    <w:suppressOverlap/>
                    <w:rPr>
                      <w:sz w:val="18"/>
                      <w:lang w:val="sr-Cyrl-RS"/>
                    </w:rPr>
                  </w:pPr>
                </w:p>
              </w:tc>
              <w:tc>
                <w:tcPr>
                  <w:tcW w:w="1040" w:type="dxa"/>
                  <w:tcBorders>
                    <w:top w:val="single" w:sz="4" w:space="0" w:color="auto"/>
                  </w:tcBorders>
                </w:tcPr>
                <w:p w14:paraId="3CA0096B" w14:textId="616E70F1" w:rsidR="003422EB" w:rsidRDefault="003422EB" w:rsidP="008C1C8E">
                  <w:pPr>
                    <w:pStyle w:val="Pasussalistom"/>
                    <w:framePr w:hSpace="180" w:wrap="around" w:vAnchor="text" w:hAnchor="text" w:y="1"/>
                    <w:spacing w:before="120"/>
                    <w:ind w:left="0"/>
                    <w:suppressOverlap/>
                    <w:rPr>
                      <w:sz w:val="18"/>
                      <w:lang w:val="sr-Cyrl-RS"/>
                    </w:rPr>
                  </w:pPr>
                  <w:r>
                    <w:rPr>
                      <w:sz w:val="18"/>
                      <w:lang w:val="sr-Cyrl-RS"/>
                    </w:rPr>
                    <w:t xml:space="preserve">К.О. </w:t>
                  </w:r>
                  <w:r w:rsidR="006C1B96">
                    <w:rPr>
                      <w:sz w:val="18"/>
                      <w:lang w:val="sr-Cyrl-RS"/>
                    </w:rPr>
                    <w:t xml:space="preserve">Српски </w:t>
                  </w:r>
                  <w:r w:rsidR="004C645B">
                    <w:rPr>
                      <w:sz w:val="18"/>
                      <w:lang w:val="sr-Cyrl-RS"/>
                    </w:rPr>
                    <w:t xml:space="preserve"> </w:t>
                  </w:r>
                  <w:proofErr w:type="spellStart"/>
                  <w:r w:rsidR="004C645B">
                    <w:rPr>
                      <w:sz w:val="18"/>
                      <w:lang w:val="sr-Cyrl-RS"/>
                    </w:rPr>
                    <w:t>Арада</w:t>
                  </w:r>
                  <w:r w:rsidR="006C1B96">
                    <w:rPr>
                      <w:sz w:val="18"/>
                      <w:lang w:val="sr-Cyrl-RS"/>
                    </w:rPr>
                    <w:t>ц</w:t>
                  </w:r>
                  <w:proofErr w:type="spellEnd"/>
                </w:p>
                <w:p w14:paraId="402B8024" w14:textId="1CD639A7" w:rsidR="003422EB" w:rsidRDefault="006C1B96" w:rsidP="008C1C8E">
                  <w:pPr>
                    <w:pStyle w:val="Pasussalistom"/>
                    <w:framePr w:hSpace="180" w:wrap="around" w:vAnchor="text" w:hAnchor="text" w:y="1"/>
                    <w:spacing w:before="120"/>
                    <w:ind w:left="0"/>
                    <w:suppressOverlap/>
                    <w:rPr>
                      <w:sz w:val="18"/>
                      <w:lang w:val="sr-Cyrl-RS"/>
                    </w:rPr>
                  </w:pPr>
                  <w:r>
                    <w:rPr>
                      <w:sz w:val="18"/>
                      <w:lang w:val="sr-Cyrl-RS"/>
                    </w:rPr>
                    <w:t xml:space="preserve">     </w:t>
                  </w:r>
                </w:p>
                <w:p w14:paraId="040C1B42" w14:textId="77777777" w:rsidR="003422EB" w:rsidRPr="003422EB" w:rsidRDefault="003422EB" w:rsidP="008C1C8E">
                  <w:pPr>
                    <w:rPr>
                      <w:lang w:val="sr-Cyrl-RS"/>
                    </w:rPr>
                  </w:pPr>
                </w:p>
                <w:p w14:paraId="11E202A6" w14:textId="77777777" w:rsidR="003422EB" w:rsidRPr="003422EB" w:rsidRDefault="003422EB" w:rsidP="008C1C8E">
                  <w:pPr>
                    <w:rPr>
                      <w:lang w:val="sr-Cyrl-RS"/>
                    </w:rPr>
                  </w:pPr>
                </w:p>
                <w:p w14:paraId="265C8ABF" w14:textId="268C519B" w:rsidR="003422EB" w:rsidRDefault="003422EB" w:rsidP="008C1C8E">
                  <w:pPr>
                    <w:rPr>
                      <w:lang w:val="sr-Cyrl-RS"/>
                    </w:rPr>
                  </w:pPr>
                </w:p>
                <w:p w14:paraId="70235CBB" w14:textId="77777777" w:rsidR="00912C08" w:rsidRPr="003422EB" w:rsidRDefault="00912C08" w:rsidP="008C1C8E">
                  <w:pPr>
                    <w:rPr>
                      <w:lang w:val="sr-Cyrl-RS"/>
                    </w:rPr>
                  </w:pPr>
                </w:p>
              </w:tc>
              <w:tc>
                <w:tcPr>
                  <w:tcW w:w="931" w:type="dxa"/>
                  <w:tcBorders>
                    <w:top w:val="single" w:sz="4" w:space="0" w:color="auto"/>
                  </w:tcBorders>
                </w:tcPr>
                <w:p w14:paraId="5FDFCEE0" w14:textId="6920BF11" w:rsidR="00912C08" w:rsidRPr="003D0233" w:rsidRDefault="004C645B" w:rsidP="008C1C8E">
                  <w:pPr>
                    <w:pStyle w:val="Pasussalistom"/>
                    <w:framePr w:hSpace="180" w:wrap="around" w:vAnchor="text" w:hAnchor="text" w:y="1"/>
                    <w:spacing w:before="120"/>
                    <w:ind w:left="0"/>
                    <w:suppressOverlap/>
                    <w:jc w:val="center"/>
                    <w:rPr>
                      <w:sz w:val="18"/>
                      <w:lang w:val="sr-Cyrl-RS"/>
                    </w:rPr>
                  </w:pPr>
                  <w:r>
                    <w:rPr>
                      <w:sz w:val="18"/>
                      <w:lang w:val="sr-Cyrl-RS"/>
                    </w:rPr>
                    <w:t>1796</w:t>
                  </w:r>
                </w:p>
              </w:tc>
              <w:tc>
                <w:tcPr>
                  <w:tcW w:w="718" w:type="dxa"/>
                  <w:tcBorders>
                    <w:top w:val="single" w:sz="4" w:space="0" w:color="auto"/>
                    <w:bottom w:val="single" w:sz="4" w:space="0" w:color="auto"/>
                  </w:tcBorders>
                </w:tcPr>
                <w:p w14:paraId="28105380" w14:textId="09CC54D8" w:rsidR="00912C08" w:rsidRPr="00136004" w:rsidRDefault="004C645B" w:rsidP="008C1C8E">
                  <w:pPr>
                    <w:pStyle w:val="Pasussalistom"/>
                    <w:framePr w:hSpace="180" w:wrap="around" w:vAnchor="text" w:hAnchor="text" w:y="1"/>
                    <w:spacing w:before="120"/>
                    <w:ind w:left="0"/>
                    <w:suppressOverlap/>
                    <w:jc w:val="center"/>
                    <w:rPr>
                      <w:sz w:val="20"/>
                      <w:lang w:val="sr-Cyrl-RS"/>
                    </w:rPr>
                  </w:pPr>
                  <w:r>
                    <w:rPr>
                      <w:sz w:val="20"/>
                      <w:lang w:val="sr-Cyrl-RS"/>
                    </w:rPr>
                    <w:t>223</w:t>
                  </w:r>
                </w:p>
              </w:tc>
              <w:tc>
                <w:tcPr>
                  <w:tcW w:w="923" w:type="dxa"/>
                  <w:tcBorders>
                    <w:top w:val="single" w:sz="4" w:space="0" w:color="auto"/>
                  </w:tcBorders>
                </w:tcPr>
                <w:p w14:paraId="0193A09B" w14:textId="5BCC2FDA" w:rsidR="00912C08" w:rsidRPr="003422EB" w:rsidRDefault="007566D3" w:rsidP="008C1C8E">
                  <w:pPr>
                    <w:rPr>
                      <w:sz w:val="20"/>
                      <w:lang w:val="sr-Cyrl-RS"/>
                    </w:rPr>
                  </w:pPr>
                  <w:r w:rsidRPr="003422EB">
                    <w:rPr>
                      <w:sz w:val="20"/>
                      <w:lang w:val="sr-Cyrl-RS"/>
                    </w:rPr>
                    <w:t>110</w:t>
                  </w:r>
                </w:p>
                <w:p w14:paraId="27B1D3A4" w14:textId="77777777" w:rsidR="003422EB" w:rsidRPr="003422EB" w:rsidRDefault="003422EB" w:rsidP="008C1C8E">
                  <w:pPr>
                    <w:rPr>
                      <w:sz w:val="20"/>
                      <w:lang w:val="sr-Cyrl-RS"/>
                    </w:rPr>
                  </w:pPr>
                </w:p>
                <w:p w14:paraId="091C37BA" w14:textId="77777777" w:rsidR="003422EB" w:rsidRDefault="003422EB" w:rsidP="008C1C8E">
                  <w:pPr>
                    <w:rPr>
                      <w:sz w:val="20"/>
                      <w:lang w:val="sr-Cyrl-RS"/>
                    </w:rPr>
                  </w:pPr>
                </w:p>
                <w:p w14:paraId="7716BDA4" w14:textId="1D23FFE2" w:rsidR="007566D3" w:rsidRPr="003422EB" w:rsidRDefault="007566D3" w:rsidP="008C1C8E">
                  <w:pPr>
                    <w:rPr>
                      <w:sz w:val="20"/>
                      <w:lang w:val="sr-Cyrl-RS"/>
                    </w:rPr>
                  </w:pPr>
                  <w:r w:rsidRPr="003422EB">
                    <w:rPr>
                      <w:sz w:val="20"/>
                      <w:lang w:val="sr-Cyrl-RS"/>
                    </w:rPr>
                    <w:t>500</w:t>
                  </w:r>
                </w:p>
                <w:p w14:paraId="61865560" w14:textId="77777777" w:rsidR="003422EB" w:rsidRPr="003422EB" w:rsidRDefault="003422EB" w:rsidP="008C1C8E">
                  <w:pPr>
                    <w:rPr>
                      <w:sz w:val="20"/>
                      <w:lang w:val="sr-Cyrl-RS"/>
                    </w:rPr>
                  </w:pPr>
                </w:p>
                <w:p w14:paraId="05C4787D" w14:textId="77777777" w:rsidR="003422EB" w:rsidRDefault="003422EB" w:rsidP="008C1C8E">
                  <w:pPr>
                    <w:rPr>
                      <w:sz w:val="20"/>
                      <w:lang w:val="sr-Cyrl-RS"/>
                    </w:rPr>
                  </w:pPr>
                </w:p>
                <w:p w14:paraId="11CAC1F1" w14:textId="1A929E02" w:rsidR="007566D3" w:rsidRPr="003422EB" w:rsidRDefault="007566D3" w:rsidP="008C1C8E">
                  <w:pPr>
                    <w:rPr>
                      <w:sz w:val="20"/>
                      <w:lang w:val="sr-Cyrl-RS"/>
                    </w:rPr>
                  </w:pPr>
                  <w:r w:rsidRPr="003422EB">
                    <w:rPr>
                      <w:sz w:val="20"/>
                      <w:lang w:val="sr-Cyrl-RS"/>
                    </w:rPr>
                    <w:t>826</w:t>
                  </w:r>
                </w:p>
              </w:tc>
              <w:tc>
                <w:tcPr>
                  <w:tcW w:w="747" w:type="dxa"/>
                  <w:tcBorders>
                    <w:top w:val="single" w:sz="4" w:space="0" w:color="auto"/>
                    <w:right w:val="nil"/>
                  </w:tcBorders>
                </w:tcPr>
                <w:p w14:paraId="3CC368A8" w14:textId="6A904872" w:rsidR="00912C08" w:rsidRDefault="006878E3" w:rsidP="006878E3">
                  <w:pPr>
                    <w:pStyle w:val="Pasussalistom"/>
                    <w:framePr w:hSpace="180" w:wrap="around" w:vAnchor="text" w:hAnchor="text" w:y="1"/>
                    <w:spacing w:before="120"/>
                    <w:ind w:left="0"/>
                    <w:suppressOverlap/>
                    <w:rPr>
                      <w:sz w:val="20"/>
                      <w:lang w:val="sr-Cyrl-RS"/>
                    </w:rPr>
                  </w:pPr>
                  <w:r>
                    <w:rPr>
                      <w:sz w:val="20"/>
                      <w:lang w:val="sr-Cyrl-RS"/>
                    </w:rPr>
                    <w:t xml:space="preserve"> </w:t>
                  </w:r>
                  <w:r w:rsidR="003422EB">
                    <w:rPr>
                      <w:sz w:val="20"/>
                      <w:lang w:val="sr-Cyrl-RS"/>
                    </w:rPr>
                    <w:t>1/1</w:t>
                  </w:r>
                </w:p>
                <w:p w14:paraId="2AF236E5" w14:textId="77777777" w:rsidR="003422EB" w:rsidRDefault="003422EB" w:rsidP="008C1C8E">
                  <w:pPr>
                    <w:pStyle w:val="Pasussalistom"/>
                    <w:framePr w:hSpace="180" w:wrap="around" w:vAnchor="text" w:hAnchor="text" w:y="1"/>
                    <w:spacing w:before="120"/>
                    <w:ind w:left="0"/>
                    <w:suppressOverlap/>
                    <w:jc w:val="center"/>
                    <w:rPr>
                      <w:sz w:val="20"/>
                      <w:lang w:val="sr-Cyrl-RS"/>
                    </w:rPr>
                  </w:pPr>
                </w:p>
                <w:p w14:paraId="546A0A87" w14:textId="77777777" w:rsidR="00742478" w:rsidRDefault="006C1B96" w:rsidP="008C1C8E">
                  <w:pPr>
                    <w:pStyle w:val="Pasussalistom"/>
                    <w:framePr w:hSpace="180" w:wrap="around" w:vAnchor="text" w:hAnchor="text" w:y="1"/>
                    <w:spacing w:before="120"/>
                    <w:ind w:left="0"/>
                    <w:suppressOverlap/>
                    <w:rPr>
                      <w:sz w:val="20"/>
                      <w:lang w:val="sr-Cyrl-RS"/>
                    </w:rPr>
                  </w:pPr>
                  <w:r>
                    <w:rPr>
                      <w:sz w:val="20"/>
                      <w:lang w:val="sr-Cyrl-RS"/>
                    </w:rPr>
                    <w:t xml:space="preserve"> </w:t>
                  </w:r>
                </w:p>
                <w:p w14:paraId="5033A9A3" w14:textId="3C383C31" w:rsidR="003422EB" w:rsidRDefault="006C1B96" w:rsidP="008C1C8E">
                  <w:pPr>
                    <w:pStyle w:val="Pasussalistom"/>
                    <w:framePr w:hSpace="180" w:wrap="around" w:vAnchor="text" w:hAnchor="text" w:y="1"/>
                    <w:spacing w:before="120"/>
                    <w:ind w:left="0"/>
                    <w:suppressOverlap/>
                    <w:rPr>
                      <w:sz w:val="20"/>
                      <w:lang w:val="sr-Cyrl-RS"/>
                    </w:rPr>
                  </w:pPr>
                  <w:r>
                    <w:rPr>
                      <w:sz w:val="20"/>
                      <w:lang w:val="sr-Cyrl-RS"/>
                    </w:rPr>
                    <w:t xml:space="preserve"> </w:t>
                  </w:r>
                  <w:r w:rsidR="003422EB">
                    <w:rPr>
                      <w:sz w:val="20"/>
                      <w:lang w:val="sr-Cyrl-RS"/>
                    </w:rPr>
                    <w:t>1/1</w:t>
                  </w:r>
                </w:p>
                <w:p w14:paraId="31AF5B52" w14:textId="77777777" w:rsidR="003422EB" w:rsidRDefault="003422EB" w:rsidP="008C1C8E">
                  <w:pPr>
                    <w:pStyle w:val="Pasussalistom"/>
                    <w:framePr w:hSpace="180" w:wrap="around" w:vAnchor="text" w:hAnchor="text" w:y="1"/>
                    <w:spacing w:before="120"/>
                    <w:ind w:left="0"/>
                    <w:suppressOverlap/>
                    <w:rPr>
                      <w:sz w:val="20"/>
                      <w:lang w:val="sr-Cyrl-RS"/>
                    </w:rPr>
                  </w:pPr>
                </w:p>
                <w:p w14:paraId="0CBAB7A3" w14:textId="77777777" w:rsidR="003422EB" w:rsidRDefault="003422EB" w:rsidP="008C1C8E">
                  <w:pPr>
                    <w:pStyle w:val="Pasussalistom"/>
                    <w:framePr w:hSpace="180" w:wrap="around" w:vAnchor="text" w:hAnchor="text" w:y="1"/>
                    <w:spacing w:before="120"/>
                    <w:ind w:left="0"/>
                    <w:suppressOverlap/>
                    <w:rPr>
                      <w:sz w:val="20"/>
                      <w:lang w:val="sr-Cyrl-RS"/>
                    </w:rPr>
                  </w:pPr>
                </w:p>
                <w:p w14:paraId="4A82EB26" w14:textId="4C754B95" w:rsidR="003422EB" w:rsidRPr="00136004" w:rsidRDefault="006C1B96" w:rsidP="008C1C8E">
                  <w:pPr>
                    <w:pStyle w:val="Pasussalistom"/>
                    <w:framePr w:hSpace="180" w:wrap="around" w:vAnchor="text" w:hAnchor="text" w:y="1"/>
                    <w:spacing w:before="120"/>
                    <w:ind w:left="0"/>
                    <w:suppressOverlap/>
                    <w:rPr>
                      <w:sz w:val="20"/>
                      <w:lang w:val="sr-Cyrl-RS"/>
                    </w:rPr>
                  </w:pPr>
                  <w:r>
                    <w:rPr>
                      <w:sz w:val="20"/>
                      <w:lang w:val="sr-Cyrl-RS"/>
                    </w:rPr>
                    <w:t xml:space="preserve">   </w:t>
                  </w:r>
                  <w:r w:rsidR="003422EB">
                    <w:rPr>
                      <w:sz w:val="20"/>
                      <w:lang w:val="sr-Cyrl-RS"/>
                    </w:rPr>
                    <w:t>1/1</w:t>
                  </w:r>
                </w:p>
              </w:tc>
            </w:tr>
          </w:tbl>
          <w:p w14:paraId="48BCAEB0" w14:textId="77777777" w:rsidR="00BE70D0" w:rsidRPr="00136004" w:rsidRDefault="00BE70D0" w:rsidP="008C1C8E">
            <w:pPr>
              <w:pStyle w:val="Pasussalistom"/>
              <w:spacing w:before="120"/>
              <w:ind w:left="2880"/>
              <w:jc w:val="center"/>
              <w:rPr>
                <w:sz w:val="20"/>
                <w:lang w:val="sr-Cyrl-CS"/>
              </w:rPr>
            </w:pPr>
          </w:p>
        </w:tc>
        <w:tc>
          <w:tcPr>
            <w:tcW w:w="1161" w:type="dxa"/>
            <w:tcBorders>
              <w:top w:val="single" w:sz="2" w:space="0" w:color="000000"/>
              <w:left w:val="single" w:sz="4" w:space="0" w:color="auto"/>
              <w:bottom w:val="single" w:sz="4" w:space="0" w:color="auto"/>
              <w:right w:val="single" w:sz="4" w:space="0" w:color="auto"/>
            </w:tcBorders>
          </w:tcPr>
          <w:p w14:paraId="4B961527" w14:textId="77777777" w:rsidR="00BE70D0" w:rsidRPr="000B5709" w:rsidRDefault="00BE70D0" w:rsidP="008C1C8E">
            <w:pPr>
              <w:pStyle w:val="TableContents"/>
              <w:snapToGrid w:val="0"/>
              <w:rPr>
                <w:sz w:val="20"/>
                <w:lang w:val="sr-Cyrl-CS"/>
              </w:rPr>
            </w:pPr>
          </w:p>
          <w:p w14:paraId="068A5D33" w14:textId="77777777" w:rsidR="000B5709" w:rsidRPr="000B5709" w:rsidRDefault="000B5709" w:rsidP="008C1C8E">
            <w:pPr>
              <w:pStyle w:val="TableContents"/>
              <w:snapToGrid w:val="0"/>
              <w:jc w:val="center"/>
              <w:rPr>
                <w:sz w:val="20"/>
                <w:lang w:val="sr-Cyrl-CS"/>
              </w:rPr>
            </w:pPr>
          </w:p>
          <w:p w14:paraId="25CE5482" w14:textId="77777777" w:rsidR="000B5709" w:rsidRPr="000B5709" w:rsidRDefault="000B5709" w:rsidP="008C1C8E">
            <w:pPr>
              <w:pStyle w:val="TableContents"/>
              <w:snapToGrid w:val="0"/>
              <w:jc w:val="center"/>
              <w:rPr>
                <w:sz w:val="20"/>
                <w:lang w:val="sr-Cyrl-CS"/>
              </w:rPr>
            </w:pPr>
          </w:p>
          <w:p w14:paraId="3356FCB5" w14:textId="77777777" w:rsidR="006878E3" w:rsidRDefault="006878E3" w:rsidP="006878E3">
            <w:pPr>
              <w:pStyle w:val="TableContents"/>
              <w:snapToGrid w:val="0"/>
              <w:rPr>
                <w:sz w:val="20"/>
                <w:lang w:val="sr-Cyrl-RS"/>
              </w:rPr>
            </w:pPr>
          </w:p>
          <w:p w14:paraId="6EBE1A84" w14:textId="77777777" w:rsidR="006878E3" w:rsidRDefault="006878E3" w:rsidP="006878E3">
            <w:pPr>
              <w:pStyle w:val="TableContents"/>
              <w:snapToGrid w:val="0"/>
              <w:rPr>
                <w:sz w:val="20"/>
                <w:lang w:val="sr-Cyrl-RS"/>
              </w:rPr>
            </w:pPr>
          </w:p>
          <w:p w14:paraId="632204DE" w14:textId="77777777" w:rsidR="000A7B96" w:rsidRDefault="000A7B96" w:rsidP="008C1C8E">
            <w:pPr>
              <w:pStyle w:val="TableContents"/>
              <w:snapToGrid w:val="0"/>
              <w:rPr>
                <w:sz w:val="20"/>
                <w:lang w:val="sr-Cyrl-CS"/>
              </w:rPr>
            </w:pPr>
          </w:p>
          <w:p w14:paraId="6E2416BB" w14:textId="7A12B4C0" w:rsidR="006C1B96" w:rsidRDefault="00F24327" w:rsidP="008C1C8E">
            <w:pPr>
              <w:pStyle w:val="TableContents"/>
              <w:snapToGrid w:val="0"/>
              <w:rPr>
                <w:sz w:val="20"/>
                <w:lang w:val="sr-Cyrl-CS"/>
              </w:rPr>
            </w:pPr>
            <w:r w:rsidRPr="00F24327">
              <w:rPr>
                <w:sz w:val="20"/>
                <w:lang w:val="sr-Cyrl-CS"/>
              </w:rPr>
              <w:t>1.113.268,90</w:t>
            </w:r>
          </w:p>
          <w:p w14:paraId="162BDE97" w14:textId="77777777" w:rsidR="006C1B96" w:rsidRDefault="006C1B96" w:rsidP="008C1C8E">
            <w:pPr>
              <w:pStyle w:val="TableContents"/>
              <w:snapToGrid w:val="0"/>
              <w:rPr>
                <w:sz w:val="20"/>
                <w:lang w:val="sr-Cyrl-CS"/>
              </w:rPr>
            </w:pPr>
          </w:p>
          <w:p w14:paraId="2200A917" w14:textId="77777777" w:rsidR="006C1B96" w:rsidRDefault="006C1B96" w:rsidP="008C1C8E">
            <w:pPr>
              <w:pStyle w:val="TableContents"/>
              <w:snapToGrid w:val="0"/>
              <w:rPr>
                <w:sz w:val="20"/>
                <w:lang w:val="sr-Cyrl-CS"/>
              </w:rPr>
            </w:pPr>
          </w:p>
          <w:p w14:paraId="09866511" w14:textId="5559B44B" w:rsidR="006C1B96" w:rsidRPr="000B5709" w:rsidRDefault="006C1B96" w:rsidP="008C1C8E">
            <w:pPr>
              <w:pStyle w:val="TableContents"/>
              <w:snapToGrid w:val="0"/>
              <w:rPr>
                <w:sz w:val="20"/>
                <w:lang w:val="sr-Cyrl-CS"/>
              </w:rPr>
            </w:pPr>
          </w:p>
        </w:tc>
        <w:tc>
          <w:tcPr>
            <w:tcW w:w="1134" w:type="dxa"/>
            <w:tcBorders>
              <w:top w:val="single" w:sz="2" w:space="0" w:color="000000"/>
              <w:left w:val="single" w:sz="4" w:space="0" w:color="auto"/>
              <w:bottom w:val="single" w:sz="4" w:space="0" w:color="auto"/>
              <w:right w:val="single" w:sz="2" w:space="0" w:color="000000"/>
            </w:tcBorders>
          </w:tcPr>
          <w:p w14:paraId="6F84A8F6" w14:textId="77777777" w:rsidR="00BE70D0" w:rsidRPr="000B5709" w:rsidRDefault="00BE70D0" w:rsidP="008C1C8E">
            <w:pPr>
              <w:pStyle w:val="TableContents"/>
              <w:snapToGrid w:val="0"/>
              <w:jc w:val="center"/>
              <w:rPr>
                <w:sz w:val="20"/>
                <w:lang w:val="sr-Cyrl-RS"/>
              </w:rPr>
            </w:pPr>
          </w:p>
          <w:p w14:paraId="368F0E35" w14:textId="77777777" w:rsidR="000B5709" w:rsidRPr="000B5709" w:rsidRDefault="000B5709" w:rsidP="008C1C8E">
            <w:pPr>
              <w:pStyle w:val="TableContents"/>
              <w:snapToGrid w:val="0"/>
              <w:jc w:val="center"/>
              <w:rPr>
                <w:sz w:val="20"/>
                <w:lang w:val="sr-Cyrl-RS"/>
              </w:rPr>
            </w:pPr>
          </w:p>
          <w:p w14:paraId="69FB6ED5" w14:textId="77777777" w:rsidR="000B5709" w:rsidRPr="000B5709" w:rsidRDefault="000B5709" w:rsidP="008C1C8E">
            <w:pPr>
              <w:pStyle w:val="TableContents"/>
              <w:snapToGrid w:val="0"/>
              <w:jc w:val="center"/>
              <w:rPr>
                <w:sz w:val="20"/>
                <w:lang w:val="sr-Cyrl-RS"/>
              </w:rPr>
            </w:pPr>
          </w:p>
          <w:p w14:paraId="028DCB68" w14:textId="77777777" w:rsidR="006878E3" w:rsidRDefault="006878E3" w:rsidP="006878E3">
            <w:pPr>
              <w:pStyle w:val="TableContents"/>
              <w:snapToGrid w:val="0"/>
              <w:rPr>
                <w:sz w:val="20"/>
                <w:lang w:val="sr-Cyrl-CS"/>
              </w:rPr>
            </w:pPr>
          </w:p>
          <w:p w14:paraId="4E4C67CB" w14:textId="77777777" w:rsidR="006878E3" w:rsidRDefault="006878E3" w:rsidP="006878E3">
            <w:pPr>
              <w:pStyle w:val="TableContents"/>
              <w:snapToGrid w:val="0"/>
              <w:rPr>
                <w:sz w:val="20"/>
                <w:lang w:val="sr-Cyrl-CS"/>
              </w:rPr>
            </w:pPr>
          </w:p>
          <w:p w14:paraId="1CA8B000" w14:textId="77777777" w:rsidR="000B5709" w:rsidRDefault="000B5709" w:rsidP="008C1C8E">
            <w:pPr>
              <w:pStyle w:val="TableContents"/>
              <w:snapToGrid w:val="0"/>
              <w:rPr>
                <w:sz w:val="20"/>
                <w:lang w:val="sr-Cyrl-RS"/>
              </w:rPr>
            </w:pPr>
          </w:p>
          <w:p w14:paraId="03DFE976" w14:textId="3FB56A33" w:rsidR="00F24327" w:rsidRPr="000B5709" w:rsidRDefault="00F24327" w:rsidP="008C1C8E">
            <w:pPr>
              <w:pStyle w:val="TableContents"/>
              <w:snapToGrid w:val="0"/>
              <w:rPr>
                <w:sz w:val="20"/>
                <w:lang w:val="sr-Cyrl-RS"/>
              </w:rPr>
            </w:pPr>
            <w:r w:rsidRPr="00F24327">
              <w:rPr>
                <w:sz w:val="20"/>
                <w:lang w:val="sr-Cyrl-RS"/>
              </w:rPr>
              <w:t>445.307,56</w:t>
            </w:r>
          </w:p>
        </w:tc>
      </w:tr>
      <w:tr w:rsidR="008C1C8E" w14:paraId="71103FFB" w14:textId="527AE271" w:rsidTr="006878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2"/>
          <w:wBefore w:w="9" w:type="dxa"/>
          <w:wAfter w:w="2295" w:type="dxa"/>
          <w:trHeight w:val="164"/>
        </w:trPr>
        <w:tc>
          <w:tcPr>
            <w:tcW w:w="4189" w:type="dxa"/>
            <w:tcBorders>
              <w:top w:val="nil"/>
              <w:left w:val="nil"/>
              <w:bottom w:val="nil"/>
            </w:tcBorders>
          </w:tcPr>
          <w:p w14:paraId="2EA0FCD5" w14:textId="77777777" w:rsidR="008C1C8E" w:rsidRDefault="008C1C8E" w:rsidP="008C1C8E">
            <w:pPr>
              <w:jc w:val="both"/>
              <w:rPr>
                <w:lang w:val="sr-Cyrl-CS"/>
              </w:rPr>
            </w:pPr>
          </w:p>
        </w:tc>
        <w:tc>
          <w:tcPr>
            <w:tcW w:w="1181" w:type="dxa"/>
            <w:tcBorders>
              <w:right w:val="nil"/>
            </w:tcBorders>
          </w:tcPr>
          <w:p w14:paraId="35DBD331" w14:textId="44956B6C" w:rsidR="008C1C8E" w:rsidRPr="008C1C8E" w:rsidRDefault="008C1C8E" w:rsidP="00B32CE6">
            <w:pPr>
              <w:ind w:left="-21" w:firstLine="11"/>
              <w:jc w:val="right"/>
              <w:rPr>
                <w:sz w:val="20"/>
                <w:lang w:val="sr-Cyrl-CS"/>
              </w:rPr>
            </w:pPr>
            <w:r w:rsidRPr="008C1C8E">
              <w:rPr>
                <w:sz w:val="20"/>
                <w:lang w:val="sr-Cyrl-CS"/>
              </w:rPr>
              <w:t>Укупно:</w:t>
            </w:r>
          </w:p>
        </w:tc>
        <w:tc>
          <w:tcPr>
            <w:tcW w:w="1389" w:type="dxa"/>
            <w:tcBorders>
              <w:left w:val="nil"/>
              <w:right w:val="single" w:sz="4" w:space="0" w:color="auto"/>
            </w:tcBorders>
          </w:tcPr>
          <w:p w14:paraId="52F6C1C6" w14:textId="32FC0A53" w:rsidR="008C1C8E" w:rsidRPr="008C1C8E" w:rsidRDefault="00B32CE6" w:rsidP="008C1C8E">
            <w:pPr>
              <w:jc w:val="both"/>
              <w:rPr>
                <w:sz w:val="20"/>
                <w:lang w:val="sr-Cyrl-CS"/>
              </w:rPr>
            </w:pPr>
            <w:r>
              <w:rPr>
                <w:sz w:val="20"/>
                <w:lang w:val="sr-Cyrl-CS"/>
              </w:rPr>
              <w:t xml:space="preserve"> </w:t>
            </w:r>
            <w:r w:rsidR="008C1C8E" w:rsidRPr="008C1C8E">
              <w:rPr>
                <w:sz w:val="20"/>
                <w:lang w:val="sr-Cyrl-CS"/>
              </w:rPr>
              <w:t>1436</w:t>
            </w:r>
          </w:p>
        </w:tc>
        <w:tc>
          <w:tcPr>
            <w:tcW w:w="571" w:type="dxa"/>
            <w:tcBorders>
              <w:top w:val="nil"/>
              <w:left w:val="single" w:sz="4" w:space="0" w:color="auto"/>
              <w:bottom w:val="nil"/>
              <w:right w:val="nil"/>
            </w:tcBorders>
          </w:tcPr>
          <w:p w14:paraId="4F4DEE21" w14:textId="7042EFCF" w:rsidR="008C1C8E" w:rsidRDefault="008C1C8E" w:rsidP="008C1C8E">
            <w:pPr>
              <w:jc w:val="both"/>
              <w:rPr>
                <w:lang w:val="sr-Cyrl-CS"/>
              </w:rPr>
            </w:pPr>
          </w:p>
        </w:tc>
      </w:tr>
    </w:tbl>
    <w:p w14:paraId="2A85157E" w14:textId="5DAF83DF" w:rsidR="008C3CAA" w:rsidRDefault="008C3CAA" w:rsidP="003B79BD">
      <w:pPr>
        <w:jc w:val="both"/>
        <w:rPr>
          <w:lang w:val="sr-Cyrl-CS"/>
        </w:rPr>
      </w:pPr>
    </w:p>
    <w:p w14:paraId="472E3994" w14:textId="724E673F" w:rsidR="001D06FF" w:rsidRPr="001D06FF" w:rsidRDefault="001D06FF" w:rsidP="003B79BD">
      <w:pPr>
        <w:jc w:val="both"/>
        <w:rPr>
          <w:i/>
          <w:sz w:val="22"/>
          <w:lang w:val="sr-Cyrl-RS"/>
        </w:rPr>
      </w:pPr>
      <w:r w:rsidRPr="001D06FF">
        <w:rPr>
          <w:i/>
          <w:sz w:val="22"/>
          <w:lang w:val="sr-Cyrl-RS"/>
        </w:rPr>
        <w:t xml:space="preserve">Напомена: </w:t>
      </w:r>
      <w:r>
        <w:rPr>
          <w:i/>
          <w:sz w:val="22"/>
          <w:lang w:val="sr-Cyrl-RS"/>
        </w:rPr>
        <w:t>У листу непокретности је уписан објекат бр.1-породична стамбена зграда површине 110 м</w:t>
      </w:r>
      <w:r>
        <w:rPr>
          <w:i/>
          <w:sz w:val="22"/>
          <w:vertAlign w:val="superscript"/>
          <w:lang w:val="sr-Cyrl-RS"/>
        </w:rPr>
        <w:t xml:space="preserve">2 </w:t>
      </w:r>
      <w:r>
        <w:rPr>
          <w:i/>
          <w:sz w:val="22"/>
          <w:lang w:val="sr-Cyrl-RS"/>
        </w:rPr>
        <w:t xml:space="preserve">који је у природи порушен. Такође, у природи постоје два </w:t>
      </w:r>
      <w:proofErr w:type="spellStart"/>
      <w:r>
        <w:rPr>
          <w:i/>
          <w:sz w:val="22"/>
          <w:lang w:val="sr-Cyrl-RS"/>
        </w:rPr>
        <w:t>неукњижена</w:t>
      </w:r>
      <w:proofErr w:type="spellEnd"/>
      <w:r>
        <w:rPr>
          <w:i/>
          <w:sz w:val="22"/>
          <w:lang w:val="sr-Cyrl-RS"/>
        </w:rPr>
        <w:t xml:space="preserve"> објекта-помоћне просторије површине 70м</w:t>
      </w:r>
      <w:r>
        <w:rPr>
          <w:i/>
          <w:sz w:val="22"/>
          <w:vertAlign w:val="superscript"/>
          <w:lang w:val="sr-Cyrl-RS"/>
        </w:rPr>
        <w:t xml:space="preserve">2 </w:t>
      </w:r>
      <w:r>
        <w:rPr>
          <w:i/>
          <w:sz w:val="22"/>
          <w:lang w:val="sr-Cyrl-RS"/>
        </w:rPr>
        <w:t>и 60м</w:t>
      </w:r>
      <w:r>
        <w:rPr>
          <w:i/>
          <w:sz w:val="22"/>
          <w:vertAlign w:val="superscript"/>
          <w:lang w:val="sr-Cyrl-RS"/>
        </w:rPr>
        <w:t xml:space="preserve">2 </w:t>
      </w:r>
      <w:r>
        <w:rPr>
          <w:i/>
          <w:sz w:val="22"/>
          <w:lang w:val="sr-Cyrl-RS"/>
        </w:rPr>
        <w:t>у трошном стању.</w:t>
      </w:r>
    </w:p>
    <w:p w14:paraId="3CC849E7" w14:textId="6AC80A8B" w:rsidR="001D06FF" w:rsidRDefault="001D06FF" w:rsidP="003B79BD">
      <w:pPr>
        <w:jc w:val="both"/>
        <w:rPr>
          <w:i/>
          <w:sz w:val="22"/>
          <w:lang w:val="sr-Cyrl-RS"/>
        </w:rPr>
      </w:pPr>
    </w:p>
    <w:p w14:paraId="1749585B" w14:textId="77777777" w:rsidR="001D06FF" w:rsidRPr="001D06FF" w:rsidRDefault="001D06FF" w:rsidP="003B79BD">
      <w:pPr>
        <w:jc w:val="both"/>
        <w:rPr>
          <w:i/>
          <w:sz w:val="22"/>
          <w:lang w:val="sr-Cyrl-RS"/>
        </w:rPr>
      </w:pPr>
    </w:p>
    <w:p w14:paraId="4E965365" w14:textId="5E61B8B8" w:rsidR="003B79BD" w:rsidRPr="00AC0C57" w:rsidRDefault="003B79BD" w:rsidP="008D0595">
      <w:pPr>
        <w:pStyle w:val="Pasussalistom"/>
        <w:ind w:left="1080"/>
        <w:jc w:val="both"/>
        <w:rPr>
          <w:lang w:val="sr-Latn-RS"/>
        </w:rPr>
      </w:pPr>
      <w:r w:rsidRPr="00AC0C57">
        <w:rPr>
          <w:lang w:val="sr-Cyrl-CS"/>
        </w:rPr>
        <w:t>Право учешћа у поступку продаје имају сва правна и физичка лица која:</w:t>
      </w:r>
    </w:p>
    <w:p w14:paraId="780A349C" w14:textId="77777777" w:rsidR="003B79BD" w:rsidRDefault="003B79BD" w:rsidP="003B79BD">
      <w:pPr>
        <w:jc w:val="both"/>
        <w:rPr>
          <w:lang w:val="sr-Cyrl-CS"/>
        </w:rPr>
      </w:pPr>
    </w:p>
    <w:p w14:paraId="3A914C98" w14:textId="71ECC4B6" w:rsidR="003B79BD" w:rsidRDefault="003B79BD" w:rsidP="003B79BD">
      <w:pPr>
        <w:numPr>
          <w:ilvl w:val="0"/>
          <w:numId w:val="11"/>
        </w:numPr>
        <w:suppressAutoHyphens/>
        <w:jc w:val="both"/>
        <w:rPr>
          <w:lang w:val="sr-Cyrl-CS"/>
        </w:rPr>
      </w:pPr>
      <w:r>
        <w:rPr>
          <w:lang w:val="sr-Cyrl-CS"/>
        </w:rPr>
        <w:t>након добијања предрачуна, изврше уплату ради откупа прод</w:t>
      </w:r>
      <w:r w:rsidR="00C919F5">
        <w:rPr>
          <w:lang w:val="sr-Cyrl-CS"/>
        </w:rPr>
        <w:t xml:space="preserve">ајне документације у износу од </w:t>
      </w:r>
      <w:r w:rsidR="00F24327" w:rsidRPr="00F24327">
        <w:rPr>
          <w:lang w:val="sr-Cyrl-CS"/>
        </w:rPr>
        <w:t>2</w:t>
      </w:r>
      <w:r w:rsidR="003D748A">
        <w:rPr>
          <w:lang w:val="sr-Latn-RS"/>
        </w:rPr>
        <w:t>5</w:t>
      </w:r>
      <w:r w:rsidRPr="00F24327">
        <w:rPr>
          <w:lang w:val="sr-Cyrl-CS"/>
        </w:rPr>
        <w:t>.000,00</w:t>
      </w:r>
      <w:r>
        <w:rPr>
          <w:lang w:val="sr-Cyrl-CS"/>
        </w:rPr>
        <w:t xml:space="preserve"> динара</w:t>
      </w:r>
      <w:r w:rsidR="001F3FBE">
        <w:rPr>
          <w:lang w:val="sr-Cyrl-RS"/>
        </w:rPr>
        <w:t>.</w:t>
      </w:r>
      <w:r>
        <w:rPr>
          <w:lang w:val="sr-Cyrl-CS"/>
        </w:rPr>
        <w:t xml:space="preserve"> Профактура се може преузети сваког радног дана, у периоду од 9:00 до 15:00 часова, у просторијама стечајног управника (уз претходни договор и најаву ст. управнику), на адреси у Кикинди, </w:t>
      </w:r>
      <w:r w:rsidR="00117AF2">
        <w:rPr>
          <w:lang w:val="sr-Cyrl-CS"/>
        </w:rPr>
        <w:t>Трг Српских добровољаца 49</w:t>
      </w:r>
      <w:r w:rsidR="008A7632">
        <w:rPr>
          <w:lang w:val="sr-Cyrl-CS"/>
        </w:rPr>
        <w:t xml:space="preserve">, закључно са </w:t>
      </w:r>
      <w:r w:rsidR="00EB45F5">
        <w:rPr>
          <w:lang w:val="sr-Latn-RS"/>
        </w:rPr>
        <w:t>16</w:t>
      </w:r>
      <w:r w:rsidR="00EB45F5">
        <w:rPr>
          <w:lang w:val="sr-Cyrl-CS"/>
        </w:rPr>
        <w:t>.09</w:t>
      </w:r>
      <w:r w:rsidRPr="00703108">
        <w:rPr>
          <w:lang w:val="sr-Cyrl-CS"/>
        </w:rPr>
        <w:t>.2</w:t>
      </w:r>
      <w:r w:rsidR="00703108" w:rsidRPr="00703108">
        <w:rPr>
          <w:bCs/>
          <w:lang w:val="sr-Cyrl-CS"/>
        </w:rPr>
        <w:t>025</w:t>
      </w:r>
      <w:r>
        <w:rPr>
          <w:bCs/>
          <w:lang w:val="sr-Cyrl-CS"/>
        </w:rPr>
        <w:t>.</w:t>
      </w:r>
      <w:r>
        <w:rPr>
          <w:b/>
          <w:bCs/>
          <w:lang w:val="sr-Cyrl-CS"/>
        </w:rPr>
        <w:t xml:space="preserve"> </w:t>
      </w:r>
      <w:r>
        <w:rPr>
          <w:lang w:val="sr-Cyrl-CS"/>
        </w:rPr>
        <w:t>године или електронским путем;</w:t>
      </w:r>
    </w:p>
    <w:p w14:paraId="733429E0" w14:textId="0AB72523" w:rsidR="003B79BD" w:rsidRPr="00397720" w:rsidRDefault="003B79BD" w:rsidP="00F24327">
      <w:pPr>
        <w:numPr>
          <w:ilvl w:val="0"/>
          <w:numId w:val="11"/>
        </w:numPr>
        <w:suppressAutoHyphens/>
        <w:spacing w:before="60"/>
        <w:jc w:val="both"/>
        <w:rPr>
          <w:lang w:val="sr-Cyrl-CS"/>
        </w:rPr>
      </w:pPr>
      <w:r>
        <w:t>у</w:t>
      </w:r>
      <w:r>
        <w:rPr>
          <w:lang w:val="sr-Cyrl-CS"/>
        </w:rPr>
        <w:t>плате</w:t>
      </w:r>
      <w:r>
        <w:rPr>
          <w:b/>
          <w:lang w:val="sr-Cyrl-CS"/>
        </w:rPr>
        <w:t xml:space="preserve"> </w:t>
      </w:r>
      <w:proofErr w:type="gramStart"/>
      <w:r>
        <w:rPr>
          <w:b/>
          <w:lang w:val="sr-Cyrl-CS"/>
        </w:rPr>
        <w:t>депозит</w:t>
      </w:r>
      <w:r>
        <w:rPr>
          <w:lang w:val="sr-Cyrl-CS"/>
        </w:rPr>
        <w:t xml:space="preserve">  на</w:t>
      </w:r>
      <w:proofErr w:type="gramEnd"/>
      <w:r>
        <w:rPr>
          <w:lang w:val="sr-Cyrl-CS"/>
        </w:rPr>
        <w:t xml:space="preserve"> текући рачун стечајног</w:t>
      </w:r>
      <w:r>
        <w:t xml:space="preserve"> </w:t>
      </w:r>
      <w:r>
        <w:rPr>
          <w:lang w:val="sr-Cyrl-CS"/>
        </w:rPr>
        <w:t xml:space="preserve"> дужника </w:t>
      </w:r>
      <w:r w:rsidRPr="002F5970">
        <w:rPr>
          <w:lang w:val="sr-Cyrl-CS"/>
        </w:rPr>
        <w:t>бр</w:t>
      </w:r>
      <w:r w:rsidR="00BC45B9">
        <w:rPr>
          <w:lang w:val="sr-Cyrl-RS"/>
        </w:rPr>
        <w:t xml:space="preserve">  </w:t>
      </w:r>
      <w:r w:rsidR="00F24327" w:rsidRPr="00F24327">
        <w:rPr>
          <w:lang w:val="sr-Cyrl-RS"/>
        </w:rPr>
        <w:t>170-0030044307014-56</w:t>
      </w:r>
      <w:r w:rsidR="00397720" w:rsidRPr="0025141D">
        <w:t>,</w:t>
      </w:r>
      <w:r w:rsidRPr="0025141D">
        <w:rPr>
          <w:lang w:val="sr-Cyrl-CS"/>
        </w:rPr>
        <w:t xml:space="preserve"> </w:t>
      </w:r>
      <w:r w:rsidR="00397720" w:rsidRPr="0025141D">
        <w:t xml:space="preserve"> </w:t>
      </w:r>
      <w:r w:rsidRPr="0025141D">
        <w:rPr>
          <w:lang w:val="sr-Cyrl-CS"/>
        </w:rPr>
        <w:t xml:space="preserve">који се води код </w:t>
      </w:r>
      <w:proofErr w:type="spellStart"/>
      <w:r w:rsidR="00F24327">
        <w:rPr>
          <w:lang w:val="sr-Latn-RS"/>
        </w:rPr>
        <w:t>Unicredit</w:t>
      </w:r>
      <w:proofErr w:type="spellEnd"/>
      <w:r w:rsidR="00F24327">
        <w:rPr>
          <w:lang w:val="sr-Latn-RS"/>
        </w:rPr>
        <w:t xml:space="preserve"> </w:t>
      </w:r>
      <w:proofErr w:type="spellStart"/>
      <w:r w:rsidR="00EB45F5">
        <w:rPr>
          <w:lang w:val="sr-Latn-RS"/>
        </w:rPr>
        <w:t>Bank</w:t>
      </w:r>
      <w:proofErr w:type="spellEnd"/>
      <w:r w:rsidR="00EB45F5">
        <w:rPr>
          <w:lang w:val="sr-Latn-RS"/>
        </w:rPr>
        <w:t xml:space="preserve"> Srbija </w:t>
      </w:r>
      <w:proofErr w:type="spellStart"/>
      <w:r w:rsidR="00EB45F5">
        <w:rPr>
          <w:lang w:val="sr-Latn-RS"/>
        </w:rPr>
        <w:t>a.d</w:t>
      </w:r>
      <w:proofErr w:type="spellEnd"/>
      <w:r w:rsidR="00EB45F5">
        <w:rPr>
          <w:lang w:val="sr-Latn-RS"/>
        </w:rPr>
        <w:t>.-Beograd</w:t>
      </w:r>
      <w:r w:rsidR="00B67E43" w:rsidRPr="0025141D">
        <w:rPr>
          <w:lang w:val="sr-Cyrl-CS"/>
        </w:rPr>
        <w:t xml:space="preserve">, </w:t>
      </w:r>
      <w:r w:rsidRPr="0025141D">
        <w:rPr>
          <w:lang w:val="sr-Cyrl-CS"/>
        </w:rPr>
        <w:t xml:space="preserve">или положе </w:t>
      </w:r>
      <w:r w:rsidR="00397720" w:rsidRPr="0025141D">
        <w:t xml:space="preserve"> </w:t>
      </w:r>
      <w:r w:rsidRPr="0025141D">
        <w:rPr>
          <w:lang w:val="sr-Cyrl-CS"/>
        </w:rPr>
        <w:t>неопозиву првокласну банкарск</w:t>
      </w:r>
      <w:r w:rsidRPr="00397720">
        <w:rPr>
          <w:lang w:val="sr-Cyrl-CS"/>
        </w:rPr>
        <w:t xml:space="preserve">у гаранцију наплативу на први позив, најкасније </w:t>
      </w:r>
      <w:r w:rsidRPr="00DF41B1">
        <w:rPr>
          <w:bCs/>
          <w:lang w:val="sr-Cyrl-CS"/>
        </w:rPr>
        <w:t>5 радних дана пре одржавања продаје</w:t>
      </w:r>
      <w:r w:rsidRPr="00DF41B1">
        <w:rPr>
          <w:lang w:val="sr-Cyrl-CS"/>
        </w:rPr>
        <w:t xml:space="preserve"> (</w:t>
      </w:r>
      <w:r w:rsidR="00B67E43" w:rsidRPr="00DF41B1">
        <w:rPr>
          <w:lang w:val="sr-Cyrl-CS"/>
        </w:rPr>
        <w:t xml:space="preserve">рок за уплату депозита је </w:t>
      </w:r>
      <w:r w:rsidR="00EB45F5">
        <w:t>16</w:t>
      </w:r>
      <w:r w:rsidR="00EB45F5">
        <w:rPr>
          <w:lang w:val="sr-Cyrl-CS"/>
        </w:rPr>
        <w:t>.09</w:t>
      </w:r>
      <w:r w:rsidRPr="00703108">
        <w:rPr>
          <w:lang w:val="sr-Cyrl-CS"/>
        </w:rPr>
        <w:t>.2</w:t>
      </w:r>
      <w:r w:rsidR="00703108" w:rsidRPr="00703108">
        <w:rPr>
          <w:bCs/>
          <w:lang w:val="sr-Cyrl-CS"/>
        </w:rPr>
        <w:t>025</w:t>
      </w:r>
      <w:r w:rsidRPr="00DF41B1">
        <w:rPr>
          <w:bCs/>
          <w:lang w:val="sr-Cyrl-CS"/>
        </w:rPr>
        <w:t>. године)</w:t>
      </w:r>
      <w:r w:rsidRPr="00DF41B1">
        <w:rPr>
          <w:lang w:val="sr-Cyrl-CS"/>
        </w:rPr>
        <w:t>.</w:t>
      </w:r>
      <w:r w:rsidRPr="00397720">
        <w:rPr>
          <w:lang w:val="sr-Cyrl-CS"/>
        </w:rPr>
        <w:t xml:space="preserve"> У случају да се као депозит положи првокласна банкарска гаранција, оригинал исте се ради провере мора доставити искључиво лично </w:t>
      </w:r>
      <w:r w:rsidR="00B67E43" w:rsidRPr="00397720">
        <w:rPr>
          <w:lang w:val="sr-Cyrl-CS"/>
        </w:rPr>
        <w:t>стечајном управнику</w:t>
      </w:r>
      <w:r w:rsidRPr="00397720">
        <w:rPr>
          <w:lang w:val="sr-Cyrl-CS"/>
        </w:rPr>
        <w:t xml:space="preserve">, </w:t>
      </w:r>
      <w:r w:rsidR="00B67E43" w:rsidRPr="00397720">
        <w:rPr>
          <w:lang w:val="sr-Cyrl-CS"/>
        </w:rPr>
        <w:t>Кикинда</w:t>
      </w:r>
      <w:r w:rsidRPr="00397720">
        <w:rPr>
          <w:lang w:val="sr-Cyrl-CS"/>
        </w:rPr>
        <w:t xml:space="preserve">, </w:t>
      </w:r>
      <w:r w:rsidR="00D128CE" w:rsidRPr="00337DA1">
        <w:rPr>
          <w:lang w:val="sr-Cyrl-RS"/>
        </w:rPr>
        <w:t>ул.</w:t>
      </w:r>
      <w:r w:rsidR="00117AF2">
        <w:t xml:space="preserve"> </w:t>
      </w:r>
      <w:r w:rsidR="00117AF2">
        <w:rPr>
          <w:lang w:val="sr-Cyrl-RS"/>
        </w:rPr>
        <w:t>Трг Српских добровољаца 49</w:t>
      </w:r>
      <w:r w:rsidRPr="00397720">
        <w:rPr>
          <w:lang w:val="sr-Cyrl-CS"/>
        </w:rPr>
        <w:t xml:space="preserve">, </w:t>
      </w:r>
      <w:r w:rsidR="006A1083">
        <w:rPr>
          <w:lang w:val="sr-Cyrl-CS"/>
        </w:rPr>
        <w:t xml:space="preserve">закључно са </w:t>
      </w:r>
      <w:r w:rsidR="00EB45F5">
        <w:t>16.09</w:t>
      </w:r>
      <w:r w:rsidR="00703108" w:rsidRPr="00703108">
        <w:t>.</w:t>
      </w:r>
      <w:r w:rsidR="00703108" w:rsidRPr="00703108">
        <w:rPr>
          <w:lang w:val="sr-Cyrl-CS"/>
        </w:rPr>
        <w:t>2025</w:t>
      </w:r>
      <w:r w:rsidRPr="00397720">
        <w:rPr>
          <w:lang w:val="sr-Cyrl-CS"/>
        </w:rPr>
        <w:t xml:space="preserve">. године до 15:00 часова по </w:t>
      </w:r>
      <w:r w:rsidRPr="00397720">
        <w:rPr>
          <w:lang w:val="sr-Cyrl-CS"/>
        </w:rPr>
        <w:lastRenderedPageBreak/>
        <w:t>београдском</w:t>
      </w:r>
      <w:r w:rsidR="00EB45F5">
        <w:rPr>
          <w:lang w:val="sr-Cyrl-CS"/>
        </w:rPr>
        <w:t xml:space="preserve"> времену (ГМТ+1). У обзир ће </w:t>
      </w:r>
      <w:proofErr w:type="spellStart"/>
      <w:r w:rsidR="00EB45F5">
        <w:rPr>
          <w:lang w:val="sr-Cyrl-CS"/>
        </w:rPr>
        <w:t>се</w:t>
      </w:r>
      <w:r w:rsidRPr="00397720">
        <w:rPr>
          <w:lang w:val="sr-Cyrl-CS"/>
        </w:rPr>
        <w:t>узети</w:t>
      </w:r>
      <w:proofErr w:type="spellEnd"/>
      <w:r w:rsidRPr="00397720">
        <w:rPr>
          <w:lang w:val="sr-Cyrl-CS"/>
        </w:rPr>
        <w:t xml:space="preserve"> само банкарске гаранције које пристигну на назначену адресу у назначено време. Гаранција</w:t>
      </w:r>
      <w:r w:rsidR="006A1083">
        <w:rPr>
          <w:lang w:val="sr-Cyrl-CS"/>
        </w:rPr>
        <w:t xml:space="preserve"> мора имати рок важења </w:t>
      </w:r>
      <w:r w:rsidR="006A6CCF" w:rsidRPr="00AC2B18">
        <w:rPr>
          <w:rFonts w:cs="Arial"/>
          <w:lang w:val="sr-Cyrl-CS"/>
        </w:rPr>
        <w:t>40 (четрдесет) дана од дана  продаје, односно до </w:t>
      </w:r>
      <w:r w:rsidR="00EB45F5">
        <w:rPr>
          <w:rFonts w:cs="Arial"/>
        </w:rPr>
        <w:t>02</w:t>
      </w:r>
      <w:r w:rsidR="006A6CCF" w:rsidRPr="00AC2B18">
        <w:rPr>
          <w:rFonts w:cs="Arial"/>
          <w:lang w:val="sr-Cyrl-CS"/>
        </w:rPr>
        <w:t>.</w:t>
      </w:r>
      <w:r w:rsidR="00EB45F5">
        <w:rPr>
          <w:rFonts w:cs="Arial"/>
          <w:lang w:val="sr-Cyrl-CS"/>
        </w:rPr>
        <w:t>11</w:t>
      </w:r>
      <w:r w:rsidR="00C919F5">
        <w:rPr>
          <w:rFonts w:cs="Arial"/>
          <w:lang w:val="sr-Cyrl-CS"/>
        </w:rPr>
        <w:t>.2025</w:t>
      </w:r>
      <w:r w:rsidR="006A6CCF" w:rsidRPr="00AC2B18">
        <w:rPr>
          <w:rFonts w:cs="Arial"/>
          <w:lang w:val="sr-Cyrl-CS"/>
        </w:rPr>
        <w:t>. године. </w:t>
      </w:r>
      <w:r w:rsidRPr="00397720">
        <w:rPr>
          <w:lang w:val="sr-Cyrl-CS"/>
        </w:rPr>
        <w:t xml:space="preserve"> </w:t>
      </w:r>
    </w:p>
    <w:p w14:paraId="33375B3B" w14:textId="77777777" w:rsidR="003B79BD" w:rsidRDefault="003B79BD" w:rsidP="003B79BD">
      <w:pPr>
        <w:numPr>
          <w:ilvl w:val="0"/>
          <w:numId w:val="11"/>
        </w:numPr>
        <w:suppressAutoHyphens/>
        <w:spacing w:before="60"/>
        <w:ind w:left="714" w:hanging="357"/>
        <w:jc w:val="both"/>
        <w:rPr>
          <w:lang w:val="sr-Cyrl-CS"/>
        </w:rPr>
      </w:pPr>
      <w:r>
        <w:rPr>
          <w:b/>
          <w:bCs/>
          <w:lang w:val="sr-Cyrl-CS"/>
        </w:rPr>
        <w:t xml:space="preserve">потпишу изјаву о губитку </w:t>
      </w:r>
      <w:r>
        <w:rPr>
          <w:bCs/>
          <w:lang w:val="sr-Cyrl-CS"/>
        </w:rPr>
        <w:t>п</w:t>
      </w:r>
      <w:r>
        <w:rPr>
          <w:lang w:val="sr-Cyrl-CS"/>
        </w:rPr>
        <w:t>рава на враћање депозита. Изјава чини саставни део продајне документације.</w:t>
      </w:r>
    </w:p>
    <w:p w14:paraId="6DB3ACCA" w14:textId="77777777" w:rsidR="003B79BD" w:rsidRDefault="003B79BD" w:rsidP="003B79BD">
      <w:pPr>
        <w:jc w:val="both"/>
      </w:pPr>
    </w:p>
    <w:p w14:paraId="20F8B0BA" w14:textId="5F9D964C" w:rsidR="003B79BD" w:rsidRDefault="003B79BD" w:rsidP="003B79BD">
      <w:pPr>
        <w:jc w:val="both"/>
        <w:rPr>
          <w:lang w:val="sr-Cyrl-CS"/>
        </w:rPr>
      </w:pPr>
      <w:r>
        <w:rPr>
          <w:lang w:val="sr-Cyrl-CS"/>
        </w:rPr>
        <w:t xml:space="preserve">Имовина се купује у виђеном стању и може се разгледати након откупа продајне документације, сваким радним даном од 12 до </w:t>
      </w:r>
      <w:r w:rsidR="006A1083">
        <w:rPr>
          <w:lang w:val="sr-Cyrl-CS"/>
        </w:rPr>
        <w:t xml:space="preserve">14 часова, а најкасније до </w:t>
      </w:r>
      <w:r w:rsidR="00EB45F5" w:rsidRPr="00EB45F5">
        <w:rPr>
          <w:lang w:val="sr-Cyrl-CS"/>
        </w:rPr>
        <w:t>16.09</w:t>
      </w:r>
      <w:r w:rsidR="00B67E43" w:rsidRPr="00EB45F5">
        <w:rPr>
          <w:lang w:val="sr-Cyrl-CS"/>
        </w:rPr>
        <w:t>.</w:t>
      </w:r>
      <w:r w:rsidR="00703108" w:rsidRPr="00EB45F5">
        <w:rPr>
          <w:lang w:val="sr-Cyrl-CS"/>
        </w:rPr>
        <w:t>2025</w:t>
      </w:r>
      <w:r>
        <w:rPr>
          <w:lang w:val="sr-Cyrl-CS"/>
        </w:rPr>
        <w:t xml:space="preserve">. године (уз претходну најаву </w:t>
      </w:r>
      <w:r w:rsidR="009D6EC6">
        <w:rPr>
          <w:lang w:val="sr-Cyrl-CS"/>
        </w:rPr>
        <w:t>стечајном</w:t>
      </w:r>
      <w:r>
        <w:rPr>
          <w:lang w:val="sr-Cyrl-CS"/>
        </w:rPr>
        <w:t xml:space="preserve"> управника).</w:t>
      </w:r>
    </w:p>
    <w:p w14:paraId="7FA0A669" w14:textId="77777777" w:rsidR="003B79BD" w:rsidRDefault="003B79BD" w:rsidP="003B79BD">
      <w:pPr>
        <w:jc w:val="both"/>
        <w:rPr>
          <w:lang w:val="sr-Cyrl-CS"/>
        </w:rPr>
      </w:pPr>
    </w:p>
    <w:p w14:paraId="511CF7FD" w14:textId="6D41FDA0" w:rsidR="003B79BD" w:rsidRDefault="003B79BD" w:rsidP="003B79BD">
      <w:pPr>
        <w:jc w:val="both"/>
        <w:rPr>
          <w:rFonts w:cs="Arial"/>
          <w:lang w:val="sr-Cyrl-CS"/>
        </w:rPr>
      </w:pPr>
      <w:r>
        <w:rPr>
          <w:rFonts w:cs="Arial"/>
          <w:lang w:val="sr-Cyrl-CS"/>
        </w:rPr>
        <w:t xml:space="preserve">Након уплате депозита, а најкасније </w:t>
      </w:r>
      <w:r w:rsidR="009D6EC6">
        <w:rPr>
          <w:rFonts w:cs="Arial"/>
          <w:lang w:val="sr-Cyrl-CS"/>
        </w:rPr>
        <w:t xml:space="preserve">закључно са </w:t>
      </w:r>
      <w:r>
        <w:rPr>
          <w:rFonts w:cs="Arial"/>
          <w:lang w:val="sr-Cyrl-CS"/>
        </w:rPr>
        <w:t xml:space="preserve"> </w:t>
      </w:r>
      <w:r w:rsidR="00EB45F5" w:rsidRPr="00EB45F5">
        <w:rPr>
          <w:rFonts w:cs="Arial"/>
        </w:rPr>
        <w:t>16.09</w:t>
      </w:r>
      <w:r w:rsidR="00703108" w:rsidRPr="00EB45F5">
        <w:rPr>
          <w:rFonts w:cs="Arial"/>
        </w:rPr>
        <w:t>.2025</w:t>
      </w:r>
      <w:r w:rsidR="00703108">
        <w:rPr>
          <w:rFonts w:cs="Arial"/>
        </w:rPr>
        <w:t>.</w:t>
      </w:r>
      <w:r>
        <w:rPr>
          <w:rFonts w:cs="Arial"/>
          <w:lang w:val="sr-Cyrl-CS"/>
        </w:rPr>
        <w:t xml:space="preserve"> године, потенцијални купци, ради правовремене евиденције, морају предати </w:t>
      </w:r>
      <w:r w:rsidR="00B67E43">
        <w:rPr>
          <w:rFonts w:cs="Arial"/>
          <w:lang w:val="sr-Cyrl-CS"/>
        </w:rPr>
        <w:t>стечајном управнику</w:t>
      </w:r>
      <w:r>
        <w:rPr>
          <w:rFonts w:cs="Arial"/>
          <w:lang w:val="sr-Cyrl-CS"/>
        </w:rPr>
        <w:t xml:space="preserve">: образац пријаве за учешће на јавном надметању, доказ о уплати депозита или копију банкарске гаранције,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лице), оверено овлашћење за заступање, уколико на јавном надметању не присуствује потенцијални купац лично (за физичка лица) или законски заступник (за правна лица). </w:t>
      </w:r>
    </w:p>
    <w:p w14:paraId="5F6289D6" w14:textId="77777777" w:rsidR="003B79BD" w:rsidRDefault="003B79BD" w:rsidP="003B79BD">
      <w:pPr>
        <w:tabs>
          <w:tab w:val="left" w:pos="1575"/>
        </w:tabs>
        <w:jc w:val="both"/>
        <w:rPr>
          <w:rFonts w:cs="Arial"/>
          <w:b/>
          <w:bCs/>
          <w:lang w:val="sr-Cyrl-CS"/>
        </w:rPr>
      </w:pPr>
    </w:p>
    <w:p w14:paraId="624ECA48" w14:textId="04242619" w:rsidR="003B79BD" w:rsidRPr="00DF41B1" w:rsidRDefault="003B79BD" w:rsidP="00742478">
      <w:pPr>
        <w:tabs>
          <w:tab w:val="left" w:pos="851"/>
          <w:tab w:val="left" w:pos="1575"/>
        </w:tabs>
        <w:jc w:val="both"/>
        <w:rPr>
          <w:rFonts w:cs="Arial"/>
          <w:lang w:val="sr-Cyrl-CS"/>
        </w:rPr>
      </w:pPr>
      <w:r w:rsidRPr="00DF41B1">
        <w:rPr>
          <w:rFonts w:cs="Arial"/>
          <w:bCs/>
          <w:lang w:val="sr-Cyrl-CS"/>
        </w:rPr>
        <w:t xml:space="preserve">Јавно надметање биће одржано </w:t>
      </w:r>
      <w:r w:rsidRPr="00DF41B1">
        <w:rPr>
          <w:rFonts w:cs="Arial"/>
          <w:lang w:val="sr-Cyrl-CS"/>
        </w:rPr>
        <w:t>дана</w:t>
      </w:r>
      <w:r w:rsidR="006A1083">
        <w:rPr>
          <w:rFonts w:cs="Arial"/>
          <w:bCs/>
          <w:lang w:val="sr-Cyrl-CS"/>
        </w:rPr>
        <w:t xml:space="preserve"> </w:t>
      </w:r>
      <w:r w:rsidR="0082279B">
        <w:rPr>
          <w:rFonts w:cs="Arial"/>
          <w:bCs/>
        </w:rPr>
        <w:t xml:space="preserve"> </w:t>
      </w:r>
      <w:r w:rsidR="00EB45F5" w:rsidRPr="00742478">
        <w:rPr>
          <w:rFonts w:cs="Arial"/>
          <w:b/>
          <w:bCs/>
          <w:lang w:val="sr-Cyrl-CS"/>
        </w:rPr>
        <w:t>23</w:t>
      </w:r>
      <w:r w:rsidR="00EF7DF0" w:rsidRPr="00742478">
        <w:rPr>
          <w:rFonts w:cs="Arial"/>
          <w:b/>
          <w:bCs/>
          <w:lang w:val="sr-Cyrl-CS"/>
        </w:rPr>
        <w:t>.</w:t>
      </w:r>
      <w:r w:rsidR="00EB45F5" w:rsidRPr="00742478">
        <w:rPr>
          <w:rFonts w:cs="Arial"/>
          <w:b/>
          <w:bCs/>
          <w:lang w:val="sr-Cyrl-CS"/>
        </w:rPr>
        <w:t>09</w:t>
      </w:r>
      <w:r w:rsidRPr="00742478">
        <w:rPr>
          <w:rFonts w:cs="Arial"/>
          <w:b/>
          <w:bCs/>
          <w:lang w:val="sr-Cyrl-CS"/>
        </w:rPr>
        <w:t>.</w:t>
      </w:r>
      <w:r w:rsidR="009A0182" w:rsidRPr="00742478">
        <w:rPr>
          <w:rFonts w:cs="Arial"/>
          <w:b/>
          <w:lang w:val="sr-Cyrl-CS"/>
        </w:rPr>
        <w:t>2025</w:t>
      </w:r>
      <w:r w:rsidR="00B67E43" w:rsidRPr="00DF41B1">
        <w:rPr>
          <w:rFonts w:cs="Arial"/>
          <w:lang w:val="sr-Cyrl-CS"/>
        </w:rPr>
        <w:t>. године у 10</w:t>
      </w:r>
      <w:r w:rsidRPr="00DF41B1">
        <w:rPr>
          <w:rFonts w:cs="Arial"/>
          <w:lang w:val="sr-Cyrl-CS"/>
        </w:rPr>
        <w:t xml:space="preserve">:00 часова, на следећој </w:t>
      </w:r>
      <w:r w:rsidRPr="00337DA1">
        <w:rPr>
          <w:rFonts w:cs="Arial"/>
          <w:lang w:val="sr-Cyrl-CS"/>
        </w:rPr>
        <w:t>адреси:</w:t>
      </w:r>
      <w:r w:rsidR="00B67E43" w:rsidRPr="00337DA1">
        <w:rPr>
          <w:rFonts w:cs="Arial"/>
          <w:lang w:val="sr-Cyrl-CS"/>
        </w:rPr>
        <w:t>.</w:t>
      </w:r>
      <w:r w:rsidR="00397720" w:rsidRPr="00DF41B1">
        <w:rPr>
          <w:rFonts w:cs="Arial"/>
        </w:rPr>
        <w:t xml:space="preserve"> </w:t>
      </w:r>
      <w:r w:rsidR="00D128CE">
        <w:rPr>
          <w:rFonts w:cs="Arial"/>
          <w:lang w:val="sr-Cyrl-RS"/>
        </w:rPr>
        <w:t xml:space="preserve"> </w:t>
      </w:r>
      <w:r w:rsidR="006A1083">
        <w:rPr>
          <w:rFonts w:cs="Arial"/>
          <w:lang w:val="sr-Cyrl-RS"/>
        </w:rPr>
        <w:t>Трг Српских добровољаца 49</w:t>
      </w:r>
      <w:r w:rsidR="006A6CCF">
        <w:rPr>
          <w:rFonts w:cs="Arial"/>
          <w:lang w:val="sr-Cyrl-RS"/>
        </w:rPr>
        <w:t>, Кикинда</w:t>
      </w:r>
      <w:r w:rsidR="006A1083">
        <w:rPr>
          <w:rFonts w:cs="Arial"/>
          <w:lang w:val="sr-Cyrl-RS"/>
        </w:rPr>
        <w:t xml:space="preserve">. </w:t>
      </w:r>
      <w:r w:rsidRPr="00DF41B1">
        <w:rPr>
          <w:rFonts w:cs="Arial"/>
          <w:bCs/>
          <w:lang w:val="sr-Cyrl-CS"/>
        </w:rPr>
        <w:t>Регистрација учесника</w:t>
      </w:r>
      <w:r w:rsidRPr="00DF41B1">
        <w:rPr>
          <w:rFonts w:cs="Arial"/>
          <w:lang w:val="sr-Cyrl-CS"/>
        </w:rPr>
        <w:t xml:space="preserve"> почиње два сата пре почетка јавног надметања, а завршава се 10 минута пре почетка јавног на</w:t>
      </w:r>
      <w:r w:rsidR="00B67E43" w:rsidRPr="00DF41B1">
        <w:rPr>
          <w:rFonts w:cs="Arial"/>
          <w:lang w:val="sr-Cyrl-CS"/>
        </w:rPr>
        <w:t>дметања, односно у периоду од 08:00-09</w:t>
      </w:r>
      <w:r w:rsidRPr="00DF41B1">
        <w:rPr>
          <w:rFonts w:cs="Arial"/>
          <w:lang w:val="sr-Cyrl-CS"/>
        </w:rPr>
        <w:t>:50 часова на истој адреси.</w:t>
      </w:r>
    </w:p>
    <w:p w14:paraId="03B30972" w14:textId="77777777" w:rsidR="003B79BD" w:rsidRDefault="003B79BD" w:rsidP="003B79BD">
      <w:pPr>
        <w:jc w:val="both"/>
        <w:rPr>
          <w:rFonts w:cs="Arial"/>
          <w:lang w:val="sr-Cyrl-CS"/>
        </w:rPr>
      </w:pPr>
    </w:p>
    <w:p w14:paraId="067E135D" w14:textId="77777777" w:rsidR="003B79BD" w:rsidRDefault="003B79BD" w:rsidP="003B79BD">
      <w:pPr>
        <w:jc w:val="both"/>
        <w:rPr>
          <w:rFonts w:cs="Arial"/>
          <w:lang w:val="sr-Cyrl-CS"/>
        </w:rPr>
      </w:pPr>
      <w:r>
        <w:rPr>
          <w:rFonts w:cs="Arial"/>
          <w:lang w:val="sr-Cyrl-CS"/>
        </w:rPr>
        <w:t>Стечајни управник спроводи јавно надметање тако што:</w:t>
      </w:r>
    </w:p>
    <w:p w14:paraId="2DB98C10" w14:textId="77777777" w:rsidR="003B79BD" w:rsidRDefault="003B79BD" w:rsidP="003B79BD">
      <w:pPr>
        <w:numPr>
          <w:ilvl w:val="0"/>
          <w:numId w:val="12"/>
        </w:numPr>
        <w:suppressAutoHyphens/>
        <w:jc w:val="both"/>
        <w:rPr>
          <w:rFonts w:cs="Arial"/>
          <w:lang w:val="sr-Cyrl-CS"/>
        </w:rPr>
      </w:pPr>
      <w:r>
        <w:rPr>
          <w:rFonts w:cs="Arial"/>
          <w:lang w:val="sr-Cyrl-CS"/>
        </w:rPr>
        <w:t>региструје лица која имају право учешћа на јавном надметању (имају овлашћења или су лично присутна);</w:t>
      </w:r>
    </w:p>
    <w:p w14:paraId="423EFAE8" w14:textId="77777777" w:rsidR="003B79BD" w:rsidRDefault="003B79BD" w:rsidP="003B79BD">
      <w:pPr>
        <w:numPr>
          <w:ilvl w:val="0"/>
          <w:numId w:val="12"/>
        </w:numPr>
        <w:suppressAutoHyphens/>
        <w:jc w:val="both"/>
        <w:rPr>
          <w:rFonts w:cs="Arial"/>
          <w:lang w:val="sr-Cyrl-CS"/>
        </w:rPr>
      </w:pPr>
      <w:r>
        <w:rPr>
          <w:rFonts w:cs="Arial"/>
          <w:lang w:val="sr-Cyrl-CS"/>
        </w:rPr>
        <w:t>отвара јавно надметање читајући правила надметања;</w:t>
      </w:r>
    </w:p>
    <w:p w14:paraId="052C7FDC" w14:textId="77777777" w:rsidR="003B79BD" w:rsidRDefault="003B79BD" w:rsidP="003B79BD">
      <w:pPr>
        <w:numPr>
          <w:ilvl w:val="0"/>
          <w:numId w:val="12"/>
        </w:numPr>
        <w:suppressAutoHyphens/>
        <w:jc w:val="both"/>
        <w:rPr>
          <w:rFonts w:cs="Arial"/>
          <w:lang w:val="sr-Cyrl-CS"/>
        </w:rPr>
      </w:pPr>
      <w:r>
        <w:rPr>
          <w:rFonts w:cs="Arial"/>
          <w:lang w:val="sr-Cyrl-CS"/>
        </w:rPr>
        <w:t>позива учеснике да прихвате понуђену цену према унапред утврђеним корацима увећања;</w:t>
      </w:r>
    </w:p>
    <w:p w14:paraId="1731CBC7" w14:textId="77777777" w:rsidR="003B79BD" w:rsidRDefault="003B79BD" w:rsidP="003B79BD">
      <w:pPr>
        <w:numPr>
          <w:ilvl w:val="0"/>
          <w:numId w:val="12"/>
        </w:numPr>
        <w:suppressAutoHyphens/>
        <w:jc w:val="both"/>
        <w:rPr>
          <w:rFonts w:cs="Arial"/>
          <w:lang w:val="sr-Cyrl-CS"/>
        </w:rPr>
      </w:pPr>
      <w:r>
        <w:rPr>
          <w:rFonts w:cs="Arial"/>
          <w:lang w:val="sr-Cyrl-CS"/>
        </w:rPr>
        <w:t>одржава ред на јавном надметању;</w:t>
      </w:r>
    </w:p>
    <w:p w14:paraId="6C635540" w14:textId="77777777" w:rsidR="003B79BD" w:rsidRDefault="003B79BD" w:rsidP="003B79BD">
      <w:pPr>
        <w:numPr>
          <w:ilvl w:val="0"/>
          <w:numId w:val="12"/>
        </w:numPr>
        <w:suppressAutoHyphens/>
        <w:jc w:val="both"/>
        <w:rPr>
          <w:rFonts w:cs="Arial"/>
          <w:lang w:val="sr-Cyrl-CS"/>
        </w:rPr>
      </w:pPr>
      <w:r>
        <w:rPr>
          <w:rFonts w:cs="Arial"/>
          <w:lang w:val="sr-Cyrl-CS"/>
        </w:rPr>
        <w:t>проглашава за купца учесника који је прихватио највишу понуђену цену;</w:t>
      </w:r>
    </w:p>
    <w:p w14:paraId="39CA6ECA" w14:textId="77777777" w:rsidR="003B79BD" w:rsidRDefault="003B79BD" w:rsidP="003B79BD">
      <w:pPr>
        <w:numPr>
          <w:ilvl w:val="0"/>
          <w:numId w:val="12"/>
        </w:numPr>
        <w:suppressAutoHyphens/>
        <w:jc w:val="both"/>
        <w:rPr>
          <w:rFonts w:cs="Arial"/>
          <w:lang w:val="sr-Cyrl-CS"/>
        </w:rPr>
      </w:pPr>
      <w:r>
        <w:rPr>
          <w:rFonts w:cs="Arial"/>
          <w:lang w:val="sr-Cyrl-CS"/>
        </w:rPr>
        <w:t>потписује записник.</w:t>
      </w:r>
    </w:p>
    <w:p w14:paraId="2608FCA6" w14:textId="77777777" w:rsidR="00CF4AC7" w:rsidRDefault="00CF4AC7" w:rsidP="00CF4AC7">
      <w:pPr>
        <w:jc w:val="both"/>
        <w:rPr>
          <w:rFonts w:cs="Arial"/>
          <w:lang w:val="sr-Cyrl-CS"/>
        </w:rPr>
      </w:pPr>
    </w:p>
    <w:p w14:paraId="41D127CC" w14:textId="77777777" w:rsidR="00CF4AC7" w:rsidRDefault="00CF4AC7" w:rsidP="00CF4AC7">
      <w:pPr>
        <w:jc w:val="both"/>
        <w:rPr>
          <w:rFonts w:cs="Arial"/>
          <w:lang w:val="sr-Cyrl-CS"/>
        </w:rPr>
      </w:pPr>
      <w:r>
        <w:rPr>
          <w:rFonts w:cs="Arial"/>
          <w:lang w:val="sr-Cyrl-CS"/>
        </w:rPr>
        <w:t>У случају</w:t>
      </w:r>
      <w:r w:rsidR="00DF41B1">
        <w:rPr>
          <w:rFonts w:cs="Arial"/>
          <w:lang w:val="sr-Cyrl-CS"/>
        </w:rPr>
        <w:t xml:space="preserve"> да на јавном надметању победи </w:t>
      </w:r>
      <w:r w:rsidR="00DF41B1">
        <w:rPr>
          <w:rFonts w:cs="Arial"/>
          <w:lang w:val="sr-Cyrl-RS"/>
        </w:rPr>
        <w:t>к</w:t>
      </w:r>
      <w:proofErr w:type="spellStart"/>
      <w:r>
        <w:rPr>
          <w:rFonts w:cs="Arial"/>
          <w:lang w:val="sr-Cyrl-CS"/>
        </w:rPr>
        <w:t>упац</w:t>
      </w:r>
      <w:proofErr w:type="spellEnd"/>
      <w:r>
        <w:rPr>
          <w:rFonts w:cs="Arial"/>
          <w:lang w:val="sr-Cyrl-CS"/>
        </w:rPr>
        <w:t xml:space="preserve"> који је д</w:t>
      </w:r>
      <w:r>
        <w:rPr>
          <w:rFonts w:cs="Arial"/>
          <w:lang w:val="sr-Latn-RS"/>
        </w:rPr>
        <w:t>e</w:t>
      </w:r>
      <w:r>
        <w:rPr>
          <w:rFonts w:cs="Arial"/>
          <w:lang w:val="sr-Cyrl-RS"/>
        </w:rPr>
        <w:t>п</w:t>
      </w:r>
      <w:proofErr w:type="spellStart"/>
      <w:r>
        <w:rPr>
          <w:rFonts w:cs="Arial"/>
          <w:lang w:val="sr-Cyrl-CS"/>
        </w:rPr>
        <w:t>oзит</w:t>
      </w:r>
      <w:proofErr w:type="spellEnd"/>
      <w:r>
        <w:rPr>
          <w:rFonts w:cs="Arial"/>
          <w:lang w:val="sr-Cyrl-CS"/>
        </w:rPr>
        <w:t xml:space="preserve"> обезбедио банкарском гаранцијом, исти мора уплатити износ депозита на рачун стечајног дужника у року од </w:t>
      </w:r>
      <w:r>
        <w:rPr>
          <w:rFonts w:cs="Arial"/>
          <w:b/>
          <w:bCs/>
          <w:lang w:val="sr-Latn-RS"/>
        </w:rPr>
        <w:t>2 (</w:t>
      </w:r>
      <w:r>
        <w:rPr>
          <w:rFonts w:cs="Arial"/>
          <w:b/>
          <w:bCs/>
          <w:lang w:val="sr-Cyrl-CS"/>
        </w:rPr>
        <w:t>два</w:t>
      </w:r>
      <w:r>
        <w:rPr>
          <w:rFonts w:cs="Arial"/>
          <w:b/>
          <w:bCs/>
          <w:lang w:val="sr-Latn-RS"/>
        </w:rPr>
        <w:t>)</w:t>
      </w:r>
      <w:r>
        <w:rPr>
          <w:rFonts w:cs="Arial"/>
          <w:b/>
          <w:bCs/>
          <w:lang w:val="sr-Cyrl-CS"/>
        </w:rPr>
        <w:t xml:space="preserve"> радна дана</w:t>
      </w:r>
      <w:r>
        <w:rPr>
          <w:rFonts w:cs="Arial"/>
          <w:lang w:val="sr-Cyrl-CS"/>
        </w:rPr>
        <w:t xml:space="preserve"> од дана јавног надметања, а пре потписивања купопродајног уговора, након чега ће му бити враћена гаранција.</w:t>
      </w:r>
    </w:p>
    <w:p w14:paraId="0FF09F7E" w14:textId="77777777" w:rsidR="00CF4AC7" w:rsidRDefault="00CF4AC7" w:rsidP="00CF4AC7">
      <w:pPr>
        <w:jc w:val="both"/>
        <w:rPr>
          <w:rFonts w:cs="Arial"/>
          <w:lang w:val="sr-Cyrl-CS"/>
        </w:rPr>
      </w:pPr>
    </w:p>
    <w:p w14:paraId="1D236B35" w14:textId="77777777" w:rsidR="00CF4AC7" w:rsidRDefault="00CF4AC7" w:rsidP="00CF4AC7">
      <w:pPr>
        <w:jc w:val="both"/>
        <w:rPr>
          <w:rFonts w:cs="Arial"/>
          <w:lang w:val="sr-Cyrl-CS"/>
        </w:rPr>
      </w:pPr>
      <w:r>
        <w:rPr>
          <w:rFonts w:cs="Arial"/>
          <w:lang w:val="sr-Cyrl-CS"/>
        </w:rPr>
        <w:t xml:space="preserve">Купопродајни уговор се потписује у року од </w:t>
      </w:r>
      <w:r w:rsidR="00BF5E68">
        <w:rPr>
          <w:rFonts w:cs="Arial"/>
          <w:b/>
          <w:bCs/>
          <w:lang w:val="sr-Cyrl-CS"/>
        </w:rPr>
        <w:t xml:space="preserve">3 </w:t>
      </w:r>
      <w:proofErr w:type="spellStart"/>
      <w:r w:rsidR="00BF5E68">
        <w:rPr>
          <w:rFonts w:cs="Arial"/>
          <w:b/>
          <w:bCs/>
          <w:lang w:val="sr-Cyrl-CS"/>
        </w:rPr>
        <w:t>радн</w:t>
      </w:r>
      <w:proofErr w:type="spellEnd"/>
      <w:r w:rsidR="00BF5E68">
        <w:rPr>
          <w:rFonts w:cs="Arial"/>
          <w:b/>
          <w:bCs/>
          <w:lang w:val="sr-Cyrl-RS"/>
        </w:rPr>
        <w:t>а</w:t>
      </w:r>
      <w:r>
        <w:rPr>
          <w:rFonts w:cs="Arial"/>
          <w:b/>
          <w:bCs/>
          <w:lang w:val="sr-Cyrl-CS"/>
        </w:rPr>
        <w:t xml:space="preserve"> дана</w:t>
      </w:r>
      <w:r>
        <w:rPr>
          <w:rFonts w:cs="Arial"/>
          <w:lang w:val="sr-Cyrl-CS"/>
        </w:rPr>
        <w:t xml:space="preserve"> од дана одржавања јавног надметања, под условом да је депозит који је обезбеђен гаранцијом уплаћен на рачун стечајног дужника</w:t>
      </w:r>
      <w:r w:rsidR="00BF5E68">
        <w:rPr>
          <w:rFonts w:cs="Arial"/>
          <w:lang w:val="sr-Cyrl-CS"/>
        </w:rPr>
        <w:t xml:space="preserve"> и да стечајни управник прибави сагласности сходно 136 в Закона о стечају од Одбора поверилаца, </w:t>
      </w:r>
      <w:proofErr w:type="spellStart"/>
      <w:r w:rsidR="00BF5E68">
        <w:rPr>
          <w:rFonts w:cs="Arial"/>
          <w:lang w:val="sr-Cyrl-CS"/>
        </w:rPr>
        <w:t>разлучних</w:t>
      </w:r>
      <w:proofErr w:type="spellEnd"/>
      <w:r w:rsidR="00BF5E68">
        <w:rPr>
          <w:rFonts w:cs="Arial"/>
          <w:lang w:val="sr-Cyrl-CS"/>
        </w:rPr>
        <w:t xml:space="preserve"> и заложних поверилаца.</w:t>
      </w:r>
      <w:r>
        <w:rPr>
          <w:rFonts w:cs="Arial"/>
          <w:lang w:val="sr-Cyrl-CS"/>
        </w:rPr>
        <w:t xml:space="preserve"> Проглашени купац је дужан да уплати преостали износ купопродајне цене у року од </w:t>
      </w:r>
      <w:r w:rsidR="00BF5E68">
        <w:rPr>
          <w:rFonts w:cs="Arial"/>
          <w:b/>
          <w:lang w:val="sr-Cyrl-CS"/>
        </w:rPr>
        <w:t>15</w:t>
      </w:r>
      <w:r>
        <w:rPr>
          <w:rFonts w:cs="Arial"/>
          <w:b/>
          <w:lang w:val="sr-Cyrl-CS"/>
        </w:rPr>
        <w:t xml:space="preserve"> дана</w:t>
      </w:r>
      <w:r>
        <w:rPr>
          <w:rFonts w:cs="Arial"/>
          <w:lang w:val="sr-Cyrl-CS"/>
        </w:rPr>
        <w:t xml:space="preserve"> од дана потписивања купопродајног уговора. Ако проглашени купац не закључи купопродајни уговор, или не уплати купопродајну цену у прописани роковима и по прописаној процедури, губи право на повраћај депозита, а за купца се проглашава други најбољи понуђач.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w:t>
      </w:r>
      <w:r w:rsidR="00DF41B1">
        <w:rPr>
          <w:rFonts w:cs="Arial"/>
          <w:lang w:val="sr-Latn-RS"/>
        </w:rPr>
        <w:t>3</w:t>
      </w:r>
      <w:r>
        <w:rPr>
          <w:rFonts w:cs="Arial"/>
          <w:lang w:val="sr-Cyrl-CS"/>
        </w:rPr>
        <w:t xml:space="preserve"> (</w:t>
      </w:r>
      <w:r w:rsidR="00DF41B1">
        <w:rPr>
          <w:rFonts w:cs="Arial"/>
          <w:lang w:val="sr-Cyrl-RS"/>
        </w:rPr>
        <w:t>три</w:t>
      </w:r>
      <w:r w:rsidR="00DF41B1">
        <w:rPr>
          <w:rFonts w:cs="Arial"/>
          <w:lang w:val="sr-Cyrl-CS"/>
        </w:rPr>
        <w:t>) радна</w:t>
      </w:r>
      <w:r>
        <w:rPr>
          <w:rFonts w:cs="Arial"/>
          <w:lang w:val="sr-Cyrl-CS"/>
        </w:rPr>
        <w:t xml:space="preserve"> дана од пријема обавештења којим се други најбољи понуђач проглашава за купца. </w:t>
      </w:r>
    </w:p>
    <w:p w14:paraId="72D4A033" w14:textId="77777777" w:rsidR="00CF4AC7" w:rsidRDefault="00CF4AC7" w:rsidP="00CF4AC7">
      <w:pPr>
        <w:jc w:val="both"/>
        <w:rPr>
          <w:rFonts w:cs="Arial"/>
          <w:lang w:val="sr-Cyrl-CS"/>
        </w:rPr>
      </w:pPr>
    </w:p>
    <w:p w14:paraId="6212BD76" w14:textId="77777777" w:rsidR="00CF4AC7" w:rsidRDefault="00CF4AC7" w:rsidP="00CF4AC7">
      <w:pPr>
        <w:jc w:val="both"/>
        <w:rPr>
          <w:rFonts w:cs="Arial"/>
          <w:lang w:val="sr-Cyrl-CS"/>
        </w:rPr>
      </w:pPr>
      <w:r>
        <w:rPr>
          <w:rFonts w:cs="Arial"/>
          <w:lang w:val="sr-Cyrl-CS"/>
        </w:rPr>
        <w:t xml:space="preserve">Учесницима који на јавном надметању нису стекли статус купца или другог најбољег понуђача, депозит (гаранција) се враћа у року од 8 радних дана од дана јавног надметања. </w:t>
      </w:r>
      <w:proofErr w:type="spellStart"/>
      <w:r>
        <w:rPr>
          <w:rFonts w:cs="Arial"/>
          <w:lang w:val="sr-Cyrl-CS"/>
        </w:rPr>
        <w:t>Уплатилац</w:t>
      </w:r>
      <w:proofErr w:type="spellEnd"/>
      <w:r>
        <w:rPr>
          <w:rFonts w:cs="Arial"/>
          <w:lang w:val="sr-Cyrl-CS"/>
        </w:rPr>
        <w:t xml:space="preserve"> депозита губи право на повраћај депозита у складу са Изјавом о губитку права на повраћај депозита. Порезе и трошкове који произилазе из закљученог купопродајног уговора  у целости сноси купац.</w:t>
      </w:r>
      <w:r w:rsidR="0083364C">
        <w:rPr>
          <w:rFonts w:cs="Arial"/>
        </w:rPr>
        <w:t xml:space="preserve"> </w:t>
      </w:r>
      <w:r>
        <w:rPr>
          <w:rFonts w:cs="Arial"/>
          <w:lang w:val="sr-Cyrl-CS"/>
        </w:rPr>
        <w:t>Није дозвољено достављање оригиналне банкарске гаранције пошиљком (обичном или препоручено), путем факса, мејла, или на други начин, осим на начин прописан у тачки 2. услова за стицање права на учешће из овог огласа.</w:t>
      </w:r>
    </w:p>
    <w:p w14:paraId="03FB384E" w14:textId="77777777" w:rsidR="00CF4AC7" w:rsidRDefault="00CF4AC7" w:rsidP="00CF4AC7">
      <w:pPr>
        <w:jc w:val="both"/>
        <w:rPr>
          <w:rFonts w:cs="Arial"/>
          <w:lang w:val="sr-Cyrl-CS"/>
        </w:rPr>
      </w:pPr>
    </w:p>
    <w:p w14:paraId="5A032E9C" w14:textId="0162175B" w:rsidR="00AC2B18" w:rsidRDefault="00AC2B18" w:rsidP="00A966FC">
      <w:pPr>
        <w:jc w:val="both"/>
        <w:rPr>
          <w:lang w:val="sr-Cyrl-CS"/>
        </w:rPr>
      </w:pPr>
      <w:r w:rsidRPr="00AC2B18">
        <w:rPr>
          <w:lang w:val="sr-Cyrl-CS"/>
        </w:rPr>
        <w:t>Порезе и трошкове који произилазе и</w:t>
      </w:r>
      <w:r w:rsidR="008D0595">
        <w:rPr>
          <w:lang w:val="sr-Cyrl-CS"/>
        </w:rPr>
        <w:t>з</w:t>
      </w:r>
      <w:r w:rsidRPr="00AC2B18">
        <w:rPr>
          <w:lang w:val="sr-Cyrl-CS"/>
        </w:rPr>
        <w:t xml:space="preserve"> закљученог  купопродајног уговора</w:t>
      </w:r>
      <w:r w:rsidR="00A966FC">
        <w:rPr>
          <w:lang w:val="sr-Cyrl-CS"/>
        </w:rPr>
        <w:t xml:space="preserve"> </w:t>
      </w:r>
      <w:r w:rsidRPr="00AC2B18">
        <w:rPr>
          <w:lang w:val="sr-Cyrl-CS"/>
        </w:rPr>
        <w:t>укључујући и трошкове поступка  се додају на постигнуту купопродајну цену и падају на терет купца.</w:t>
      </w:r>
    </w:p>
    <w:p w14:paraId="4CDD8DE7" w14:textId="77777777" w:rsidR="00A966FC" w:rsidRPr="00AC2B18" w:rsidRDefault="00A966FC" w:rsidP="00A966FC">
      <w:pPr>
        <w:jc w:val="both"/>
        <w:rPr>
          <w:lang w:val="sr-Cyrl-CS"/>
        </w:rPr>
      </w:pPr>
    </w:p>
    <w:p w14:paraId="20EE41BC" w14:textId="77777777" w:rsidR="00337DA1" w:rsidRDefault="00AC2B18" w:rsidP="00337DA1">
      <w:pPr>
        <w:jc w:val="both"/>
        <w:rPr>
          <w:rFonts w:cs="Arial"/>
          <w:lang w:val="sr-Cyrl-CS"/>
        </w:rPr>
      </w:pPr>
      <w:r w:rsidRPr="00AC2B18">
        <w:rPr>
          <w:rFonts w:cs="Arial"/>
          <w:lang w:val="sr-Cyrl-CS"/>
        </w:rPr>
        <w:t>Особа за контакт – стечајни управник</w:t>
      </w:r>
      <w:r w:rsidR="00337DA1">
        <w:rPr>
          <w:rFonts w:cs="Arial"/>
          <w:lang w:val="sr-Cyrl-CS"/>
        </w:rPr>
        <w:t xml:space="preserve"> Драгана Галић</w:t>
      </w:r>
      <w:r w:rsidRPr="00AC2B18">
        <w:rPr>
          <w:rFonts w:cs="Arial"/>
          <w:lang w:val="sr-Cyrl-CS"/>
        </w:rPr>
        <w:t>, контакт тел</w:t>
      </w:r>
      <w:r w:rsidR="00337DA1">
        <w:rPr>
          <w:rFonts w:cs="Arial"/>
          <w:lang w:val="sr-Cyrl-CS"/>
        </w:rPr>
        <w:t>ефон  061 1826219/ 063 591265</w:t>
      </w:r>
    </w:p>
    <w:p w14:paraId="56D5AF71" w14:textId="4F5C4677" w:rsidR="00AC2B18" w:rsidRPr="00AC2B18" w:rsidRDefault="00AC2B18" w:rsidP="00AC2B18">
      <w:pPr>
        <w:jc w:val="both"/>
        <w:rPr>
          <w:rFonts w:cs="Arial"/>
          <w:lang w:val="sr-Latn-RS"/>
        </w:rPr>
      </w:pPr>
    </w:p>
    <w:sectPr w:rsidR="00AC2B18" w:rsidRPr="00AC2B18" w:rsidSect="00A523FA">
      <w:pgSz w:w="11906" w:h="16838"/>
      <w:pgMar w:top="1417" w:right="1274"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21765DC"/>
    <w:multiLevelType w:val="hybridMultilevel"/>
    <w:tmpl w:val="5C549788"/>
    <w:lvl w:ilvl="0" w:tplc="999C7B02">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53167C0"/>
    <w:multiLevelType w:val="hybridMultilevel"/>
    <w:tmpl w:val="3194499A"/>
    <w:lvl w:ilvl="0" w:tplc="E8F45DAC">
      <w:start w:val="1"/>
      <w:numFmt w:val="upperRoman"/>
      <w:lvlText w:val="%1."/>
      <w:lvlJc w:val="left"/>
      <w:pPr>
        <w:ind w:left="1080" w:hanging="72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45925"/>
    <w:multiLevelType w:val="hybridMultilevel"/>
    <w:tmpl w:val="A66862BA"/>
    <w:lvl w:ilvl="0" w:tplc="B560D9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2097A"/>
    <w:multiLevelType w:val="hybridMultilevel"/>
    <w:tmpl w:val="A4A015D0"/>
    <w:lvl w:ilvl="0" w:tplc="41C485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A2B62"/>
    <w:multiLevelType w:val="hybridMultilevel"/>
    <w:tmpl w:val="C2FCCB38"/>
    <w:lvl w:ilvl="0" w:tplc="E05EFA96">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1454326"/>
    <w:multiLevelType w:val="hybridMultilevel"/>
    <w:tmpl w:val="22FE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8321E"/>
    <w:multiLevelType w:val="hybridMultilevel"/>
    <w:tmpl w:val="EF3EAF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215FC"/>
    <w:multiLevelType w:val="hybridMultilevel"/>
    <w:tmpl w:val="4D9E0884"/>
    <w:lvl w:ilvl="0" w:tplc="D5B06DB2">
      <w:start w:val="1"/>
      <w:numFmt w:val="upperRoman"/>
      <w:lvlText w:val="%1."/>
      <w:lvlJc w:val="left"/>
      <w:pPr>
        <w:ind w:left="153" w:hanging="72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0" w15:restartNumberingAfterBreak="0">
    <w:nsid w:val="2D0A02DB"/>
    <w:multiLevelType w:val="hybridMultilevel"/>
    <w:tmpl w:val="DF7669A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F0709"/>
    <w:multiLevelType w:val="hybridMultilevel"/>
    <w:tmpl w:val="F6629EB8"/>
    <w:lvl w:ilvl="0" w:tplc="CCDA3D66">
      <w:numFmt w:val="bullet"/>
      <w:lvlText w:val="-"/>
      <w:lvlJc w:val="left"/>
      <w:pPr>
        <w:ind w:left="-207" w:hanging="360"/>
      </w:pPr>
      <w:rPr>
        <w:rFonts w:ascii="Times New Roman" w:eastAsia="Times New Roman" w:hAnsi="Times New Roman" w:cs="Times New Roman"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32040FB3"/>
    <w:multiLevelType w:val="hybridMultilevel"/>
    <w:tmpl w:val="DF92631A"/>
    <w:lvl w:ilvl="0" w:tplc="D5B06DB2">
      <w:start w:val="1"/>
      <w:numFmt w:val="upperRoman"/>
      <w:lvlText w:val="%1."/>
      <w:lvlJc w:val="left"/>
      <w:pPr>
        <w:ind w:left="153" w:hanging="72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3"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9947B4A"/>
    <w:multiLevelType w:val="hybridMultilevel"/>
    <w:tmpl w:val="0CF68B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07638"/>
    <w:multiLevelType w:val="hybridMultilevel"/>
    <w:tmpl w:val="BD2CC1C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AF939E3"/>
    <w:multiLevelType w:val="hybridMultilevel"/>
    <w:tmpl w:val="C54A2D46"/>
    <w:lvl w:ilvl="0" w:tplc="CED2D5A6">
      <w:numFmt w:val="bullet"/>
      <w:lvlText w:val="-"/>
      <w:lvlJc w:val="left"/>
      <w:pPr>
        <w:tabs>
          <w:tab w:val="num" w:pos="-207"/>
        </w:tabs>
        <w:ind w:left="-207" w:hanging="360"/>
      </w:pPr>
      <w:rPr>
        <w:rFonts w:ascii="Times New Roman" w:eastAsia="Times New Roman" w:hAnsi="Times New Roman" w:cs="Times New Roman" w:hint="default"/>
      </w:rPr>
    </w:lvl>
    <w:lvl w:ilvl="1" w:tplc="04090003" w:tentative="1">
      <w:start w:val="1"/>
      <w:numFmt w:val="bullet"/>
      <w:lvlText w:val="o"/>
      <w:lvlJc w:val="left"/>
      <w:pPr>
        <w:tabs>
          <w:tab w:val="num" w:pos="513"/>
        </w:tabs>
        <w:ind w:left="513" w:hanging="360"/>
      </w:pPr>
      <w:rPr>
        <w:rFonts w:ascii="Courier New" w:hAnsi="Courier New" w:cs="Courier New" w:hint="default"/>
      </w:rPr>
    </w:lvl>
    <w:lvl w:ilvl="2" w:tplc="04090005" w:tentative="1">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cs="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cs="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17" w15:restartNumberingAfterBreak="0">
    <w:nsid w:val="66FD4571"/>
    <w:multiLevelType w:val="hybridMultilevel"/>
    <w:tmpl w:val="EC10C4E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253086"/>
    <w:multiLevelType w:val="hybridMultilevel"/>
    <w:tmpl w:val="5E0C84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41455D"/>
    <w:multiLevelType w:val="hybridMultilevel"/>
    <w:tmpl w:val="74789050"/>
    <w:lvl w:ilvl="0" w:tplc="A0101C20">
      <w:numFmt w:val="bullet"/>
      <w:lvlText w:val="-"/>
      <w:lvlJc w:val="left"/>
      <w:pPr>
        <w:ind w:left="363" w:hanging="360"/>
      </w:pPr>
      <w:rPr>
        <w:rFonts w:ascii="Times New Roman" w:eastAsia="Times New Roman" w:hAnsi="Times New Roman" w:cs="Times New Roman" w:hint="default"/>
      </w:rPr>
    </w:lvl>
    <w:lvl w:ilvl="1" w:tplc="241A0003" w:tentative="1">
      <w:start w:val="1"/>
      <w:numFmt w:val="bullet"/>
      <w:lvlText w:val="o"/>
      <w:lvlJc w:val="left"/>
      <w:pPr>
        <w:ind w:left="1083" w:hanging="360"/>
      </w:pPr>
      <w:rPr>
        <w:rFonts w:ascii="Courier New" w:hAnsi="Courier New" w:cs="Courier New" w:hint="default"/>
      </w:rPr>
    </w:lvl>
    <w:lvl w:ilvl="2" w:tplc="241A0005" w:tentative="1">
      <w:start w:val="1"/>
      <w:numFmt w:val="bullet"/>
      <w:lvlText w:val=""/>
      <w:lvlJc w:val="left"/>
      <w:pPr>
        <w:ind w:left="1803" w:hanging="360"/>
      </w:pPr>
      <w:rPr>
        <w:rFonts w:ascii="Wingdings" w:hAnsi="Wingdings" w:hint="default"/>
      </w:rPr>
    </w:lvl>
    <w:lvl w:ilvl="3" w:tplc="241A0001" w:tentative="1">
      <w:start w:val="1"/>
      <w:numFmt w:val="bullet"/>
      <w:lvlText w:val=""/>
      <w:lvlJc w:val="left"/>
      <w:pPr>
        <w:ind w:left="2523" w:hanging="360"/>
      </w:pPr>
      <w:rPr>
        <w:rFonts w:ascii="Symbol" w:hAnsi="Symbol" w:hint="default"/>
      </w:rPr>
    </w:lvl>
    <w:lvl w:ilvl="4" w:tplc="241A0003" w:tentative="1">
      <w:start w:val="1"/>
      <w:numFmt w:val="bullet"/>
      <w:lvlText w:val="o"/>
      <w:lvlJc w:val="left"/>
      <w:pPr>
        <w:ind w:left="3243" w:hanging="360"/>
      </w:pPr>
      <w:rPr>
        <w:rFonts w:ascii="Courier New" w:hAnsi="Courier New" w:cs="Courier New" w:hint="default"/>
      </w:rPr>
    </w:lvl>
    <w:lvl w:ilvl="5" w:tplc="241A0005" w:tentative="1">
      <w:start w:val="1"/>
      <w:numFmt w:val="bullet"/>
      <w:lvlText w:val=""/>
      <w:lvlJc w:val="left"/>
      <w:pPr>
        <w:ind w:left="3963" w:hanging="360"/>
      </w:pPr>
      <w:rPr>
        <w:rFonts w:ascii="Wingdings" w:hAnsi="Wingdings" w:hint="default"/>
      </w:rPr>
    </w:lvl>
    <w:lvl w:ilvl="6" w:tplc="241A0001" w:tentative="1">
      <w:start w:val="1"/>
      <w:numFmt w:val="bullet"/>
      <w:lvlText w:val=""/>
      <w:lvlJc w:val="left"/>
      <w:pPr>
        <w:ind w:left="4683" w:hanging="360"/>
      </w:pPr>
      <w:rPr>
        <w:rFonts w:ascii="Symbol" w:hAnsi="Symbol" w:hint="default"/>
      </w:rPr>
    </w:lvl>
    <w:lvl w:ilvl="7" w:tplc="241A0003" w:tentative="1">
      <w:start w:val="1"/>
      <w:numFmt w:val="bullet"/>
      <w:lvlText w:val="o"/>
      <w:lvlJc w:val="left"/>
      <w:pPr>
        <w:ind w:left="5403" w:hanging="360"/>
      </w:pPr>
      <w:rPr>
        <w:rFonts w:ascii="Courier New" w:hAnsi="Courier New" w:cs="Courier New" w:hint="default"/>
      </w:rPr>
    </w:lvl>
    <w:lvl w:ilvl="8" w:tplc="241A0005" w:tentative="1">
      <w:start w:val="1"/>
      <w:numFmt w:val="bullet"/>
      <w:lvlText w:val=""/>
      <w:lvlJc w:val="left"/>
      <w:pPr>
        <w:ind w:left="6123" w:hanging="360"/>
      </w:pPr>
      <w:rPr>
        <w:rFonts w:ascii="Wingdings" w:hAnsi="Wingdings" w:hint="default"/>
      </w:rPr>
    </w:lvl>
  </w:abstractNum>
  <w:abstractNum w:abstractNumId="20" w15:restartNumberingAfterBreak="0">
    <w:nsid w:val="794A63D2"/>
    <w:multiLevelType w:val="hybridMultilevel"/>
    <w:tmpl w:val="E332ADF0"/>
    <w:lvl w:ilvl="0" w:tplc="04090001">
      <w:start w:val="1"/>
      <w:numFmt w:val="bullet"/>
      <w:lvlText w:val=""/>
      <w:lvlJc w:val="left"/>
      <w:pPr>
        <w:ind w:left="720" w:hanging="360"/>
      </w:pPr>
      <w:rPr>
        <w:rFonts w:ascii="Symbol" w:hAnsi="Symbol" w:hint="default"/>
      </w:rPr>
    </w:lvl>
    <w:lvl w:ilvl="1" w:tplc="4598568A">
      <w:numFmt w:val="bullet"/>
      <w:lvlText w:val="-"/>
      <w:lvlJc w:val="left"/>
      <w:pPr>
        <w:ind w:left="1644" w:hanging="564"/>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AE0DAD"/>
    <w:multiLevelType w:val="hybridMultilevel"/>
    <w:tmpl w:val="5064A6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A649E6"/>
    <w:multiLevelType w:val="hybridMultilevel"/>
    <w:tmpl w:val="C2FCCB38"/>
    <w:lvl w:ilvl="0" w:tplc="E05EFA96">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7E420BAD"/>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3"/>
  </w:num>
  <w:num w:numId="5">
    <w:abstractNumId w:val="19"/>
  </w:num>
  <w:num w:numId="6">
    <w:abstractNumId w:val="2"/>
  </w:num>
  <w:num w:numId="7">
    <w:abstractNumId w:val="16"/>
  </w:num>
  <w:num w:numId="8">
    <w:abstractNumId w:val="11"/>
  </w:num>
  <w:num w:numId="9">
    <w:abstractNumId w:val="4"/>
  </w:num>
  <w:num w:numId="10">
    <w:abstractNumId w:val="22"/>
  </w:num>
  <w:num w:numId="11">
    <w:abstractNumId w:val="0"/>
  </w:num>
  <w:num w:numId="12">
    <w:abstractNumId w:val="1"/>
  </w:num>
  <w:num w:numId="13">
    <w:abstractNumId w:val="12"/>
  </w:num>
  <w:num w:numId="14">
    <w:abstractNumId w:val="9"/>
  </w:num>
  <w:num w:numId="15">
    <w:abstractNumId w:val="15"/>
  </w:num>
  <w:num w:numId="16">
    <w:abstractNumId w:val="17"/>
  </w:num>
  <w:num w:numId="17">
    <w:abstractNumId w:val="10"/>
  </w:num>
  <w:num w:numId="18">
    <w:abstractNumId w:val="7"/>
  </w:num>
  <w:num w:numId="19">
    <w:abstractNumId w:val="21"/>
  </w:num>
  <w:num w:numId="20">
    <w:abstractNumId w:val="3"/>
  </w:num>
  <w:num w:numId="21">
    <w:abstractNumId w:val="5"/>
  </w:num>
  <w:num w:numId="22">
    <w:abstractNumId w:val="20"/>
  </w:num>
  <w:num w:numId="23">
    <w:abstractNumId w:val="14"/>
  </w:num>
  <w:num w:numId="24">
    <w:abstractNumId w:val="8"/>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988"/>
    <w:rsid w:val="00003146"/>
    <w:rsid w:val="000409A7"/>
    <w:rsid w:val="000446D9"/>
    <w:rsid w:val="000475FE"/>
    <w:rsid w:val="000517F3"/>
    <w:rsid w:val="0006527B"/>
    <w:rsid w:val="00073CF3"/>
    <w:rsid w:val="00085D6D"/>
    <w:rsid w:val="0009467E"/>
    <w:rsid w:val="000A7B96"/>
    <w:rsid w:val="000A7F0A"/>
    <w:rsid w:val="000B2D26"/>
    <w:rsid w:val="000B37BB"/>
    <w:rsid w:val="000B5709"/>
    <w:rsid w:val="000C7BB4"/>
    <w:rsid w:val="000D46B6"/>
    <w:rsid w:val="000D6BA4"/>
    <w:rsid w:val="000E6403"/>
    <w:rsid w:val="000E751A"/>
    <w:rsid w:val="000F0CC4"/>
    <w:rsid w:val="000F0EB7"/>
    <w:rsid w:val="001053E8"/>
    <w:rsid w:val="001174C9"/>
    <w:rsid w:val="00117AF2"/>
    <w:rsid w:val="00125288"/>
    <w:rsid w:val="001271E2"/>
    <w:rsid w:val="00136004"/>
    <w:rsid w:val="00175539"/>
    <w:rsid w:val="00186360"/>
    <w:rsid w:val="001B0338"/>
    <w:rsid w:val="001D0210"/>
    <w:rsid w:val="001D0667"/>
    <w:rsid w:val="001D06FF"/>
    <w:rsid w:val="001D1D55"/>
    <w:rsid w:val="001E11F6"/>
    <w:rsid w:val="001E4BAE"/>
    <w:rsid w:val="001E5116"/>
    <w:rsid w:val="001E5633"/>
    <w:rsid w:val="001E73CB"/>
    <w:rsid w:val="001F3FBE"/>
    <w:rsid w:val="00222C52"/>
    <w:rsid w:val="002245EC"/>
    <w:rsid w:val="0024436A"/>
    <w:rsid w:val="002445DE"/>
    <w:rsid w:val="00245271"/>
    <w:rsid w:val="0025141D"/>
    <w:rsid w:val="00274595"/>
    <w:rsid w:val="00275F3E"/>
    <w:rsid w:val="00286BF9"/>
    <w:rsid w:val="00287A9F"/>
    <w:rsid w:val="002A2F49"/>
    <w:rsid w:val="002B7857"/>
    <w:rsid w:val="002C395E"/>
    <w:rsid w:val="002D759D"/>
    <w:rsid w:val="002F5970"/>
    <w:rsid w:val="00306C56"/>
    <w:rsid w:val="00317A3D"/>
    <w:rsid w:val="00323482"/>
    <w:rsid w:val="00337DA1"/>
    <w:rsid w:val="003422EB"/>
    <w:rsid w:val="00350957"/>
    <w:rsid w:val="00363088"/>
    <w:rsid w:val="003807F5"/>
    <w:rsid w:val="003938C1"/>
    <w:rsid w:val="00395B7C"/>
    <w:rsid w:val="00397720"/>
    <w:rsid w:val="00397781"/>
    <w:rsid w:val="003A153E"/>
    <w:rsid w:val="003A1574"/>
    <w:rsid w:val="003A1C5E"/>
    <w:rsid w:val="003B7586"/>
    <w:rsid w:val="003B79BD"/>
    <w:rsid w:val="003C7148"/>
    <w:rsid w:val="003D0233"/>
    <w:rsid w:val="003D748A"/>
    <w:rsid w:val="003F0098"/>
    <w:rsid w:val="003F6372"/>
    <w:rsid w:val="0040016E"/>
    <w:rsid w:val="00401BE9"/>
    <w:rsid w:val="00403FBE"/>
    <w:rsid w:val="0041383E"/>
    <w:rsid w:val="004156B0"/>
    <w:rsid w:val="00416395"/>
    <w:rsid w:val="00424F95"/>
    <w:rsid w:val="004279CD"/>
    <w:rsid w:val="00452483"/>
    <w:rsid w:val="004561A0"/>
    <w:rsid w:val="0046363C"/>
    <w:rsid w:val="00463D3B"/>
    <w:rsid w:val="004772A9"/>
    <w:rsid w:val="00481907"/>
    <w:rsid w:val="00485B9B"/>
    <w:rsid w:val="004967FA"/>
    <w:rsid w:val="004A3FE2"/>
    <w:rsid w:val="004C645B"/>
    <w:rsid w:val="004C6FFE"/>
    <w:rsid w:val="004D3B07"/>
    <w:rsid w:val="004D53C7"/>
    <w:rsid w:val="004E406C"/>
    <w:rsid w:val="004F08B4"/>
    <w:rsid w:val="004F7143"/>
    <w:rsid w:val="005107D0"/>
    <w:rsid w:val="0051513A"/>
    <w:rsid w:val="00515F82"/>
    <w:rsid w:val="00527BF3"/>
    <w:rsid w:val="00537192"/>
    <w:rsid w:val="005474B4"/>
    <w:rsid w:val="0055140E"/>
    <w:rsid w:val="00552947"/>
    <w:rsid w:val="005560DD"/>
    <w:rsid w:val="005663F3"/>
    <w:rsid w:val="00576943"/>
    <w:rsid w:val="005905DA"/>
    <w:rsid w:val="005B4138"/>
    <w:rsid w:val="005B7603"/>
    <w:rsid w:val="005C2390"/>
    <w:rsid w:val="005D7DBD"/>
    <w:rsid w:val="005F1FC2"/>
    <w:rsid w:val="00607729"/>
    <w:rsid w:val="0061017E"/>
    <w:rsid w:val="00645A2E"/>
    <w:rsid w:val="00656776"/>
    <w:rsid w:val="00657921"/>
    <w:rsid w:val="00660951"/>
    <w:rsid w:val="00673F84"/>
    <w:rsid w:val="0068121B"/>
    <w:rsid w:val="006878E3"/>
    <w:rsid w:val="006920B3"/>
    <w:rsid w:val="006961AB"/>
    <w:rsid w:val="006A1083"/>
    <w:rsid w:val="006A1201"/>
    <w:rsid w:val="006A1823"/>
    <w:rsid w:val="006A355C"/>
    <w:rsid w:val="006A6CCF"/>
    <w:rsid w:val="006B2602"/>
    <w:rsid w:val="006B5069"/>
    <w:rsid w:val="006C1B96"/>
    <w:rsid w:val="006C3B33"/>
    <w:rsid w:val="006E2344"/>
    <w:rsid w:val="006E23DE"/>
    <w:rsid w:val="006E6504"/>
    <w:rsid w:val="006E6657"/>
    <w:rsid w:val="006F7602"/>
    <w:rsid w:val="00700F36"/>
    <w:rsid w:val="00703108"/>
    <w:rsid w:val="00717349"/>
    <w:rsid w:val="00721C0C"/>
    <w:rsid w:val="00725C8C"/>
    <w:rsid w:val="0073143A"/>
    <w:rsid w:val="00733991"/>
    <w:rsid w:val="0073638B"/>
    <w:rsid w:val="00741706"/>
    <w:rsid w:val="00742478"/>
    <w:rsid w:val="00755107"/>
    <w:rsid w:val="007566D3"/>
    <w:rsid w:val="00756D9B"/>
    <w:rsid w:val="00765AD5"/>
    <w:rsid w:val="0078101C"/>
    <w:rsid w:val="00784BE9"/>
    <w:rsid w:val="00790C64"/>
    <w:rsid w:val="00791891"/>
    <w:rsid w:val="00795AE1"/>
    <w:rsid w:val="007B7AEC"/>
    <w:rsid w:val="007D2AD7"/>
    <w:rsid w:val="007F16A0"/>
    <w:rsid w:val="007F3911"/>
    <w:rsid w:val="00804B12"/>
    <w:rsid w:val="0081387A"/>
    <w:rsid w:val="00814403"/>
    <w:rsid w:val="00817798"/>
    <w:rsid w:val="0082279B"/>
    <w:rsid w:val="0083364C"/>
    <w:rsid w:val="008662F0"/>
    <w:rsid w:val="008862B7"/>
    <w:rsid w:val="00891B3B"/>
    <w:rsid w:val="008931E2"/>
    <w:rsid w:val="008967F0"/>
    <w:rsid w:val="008A07BD"/>
    <w:rsid w:val="008A0D95"/>
    <w:rsid w:val="008A1346"/>
    <w:rsid w:val="008A7632"/>
    <w:rsid w:val="008C1421"/>
    <w:rsid w:val="008C1C8E"/>
    <w:rsid w:val="008C3CAA"/>
    <w:rsid w:val="008D0595"/>
    <w:rsid w:val="008D11E0"/>
    <w:rsid w:val="009121C1"/>
    <w:rsid w:val="00912C08"/>
    <w:rsid w:val="00923592"/>
    <w:rsid w:val="009246DF"/>
    <w:rsid w:val="00936C93"/>
    <w:rsid w:val="009545F4"/>
    <w:rsid w:val="0096325C"/>
    <w:rsid w:val="009A0182"/>
    <w:rsid w:val="009A2ADF"/>
    <w:rsid w:val="009C7F5D"/>
    <w:rsid w:val="009D6EC6"/>
    <w:rsid w:val="009F1139"/>
    <w:rsid w:val="00A011E8"/>
    <w:rsid w:val="00A10C4E"/>
    <w:rsid w:val="00A12D0A"/>
    <w:rsid w:val="00A25CCE"/>
    <w:rsid w:val="00A36395"/>
    <w:rsid w:val="00A523FA"/>
    <w:rsid w:val="00A53260"/>
    <w:rsid w:val="00A75E63"/>
    <w:rsid w:val="00A80761"/>
    <w:rsid w:val="00A87927"/>
    <w:rsid w:val="00A94206"/>
    <w:rsid w:val="00A95C5C"/>
    <w:rsid w:val="00A966FC"/>
    <w:rsid w:val="00AA04E7"/>
    <w:rsid w:val="00AB5E33"/>
    <w:rsid w:val="00AC0C57"/>
    <w:rsid w:val="00AC0D4F"/>
    <w:rsid w:val="00AC2384"/>
    <w:rsid w:val="00AC2B18"/>
    <w:rsid w:val="00AE1274"/>
    <w:rsid w:val="00AE507E"/>
    <w:rsid w:val="00AF3DFB"/>
    <w:rsid w:val="00B00B5B"/>
    <w:rsid w:val="00B00EF4"/>
    <w:rsid w:val="00B03B36"/>
    <w:rsid w:val="00B127FC"/>
    <w:rsid w:val="00B277AC"/>
    <w:rsid w:val="00B32CE6"/>
    <w:rsid w:val="00B33737"/>
    <w:rsid w:val="00B57077"/>
    <w:rsid w:val="00B67E43"/>
    <w:rsid w:val="00B70CF7"/>
    <w:rsid w:val="00B765CF"/>
    <w:rsid w:val="00BA2D3F"/>
    <w:rsid w:val="00BA4818"/>
    <w:rsid w:val="00BB1528"/>
    <w:rsid w:val="00BB1725"/>
    <w:rsid w:val="00BB48D1"/>
    <w:rsid w:val="00BB6457"/>
    <w:rsid w:val="00BC2FD3"/>
    <w:rsid w:val="00BC45B9"/>
    <w:rsid w:val="00BC582C"/>
    <w:rsid w:val="00BC600B"/>
    <w:rsid w:val="00BD26A8"/>
    <w:rsid w:val="00BD7F30"/>
    <w:rsid w:val="00BE0487"/>
    <w:rsid w:val="00BE70D0"/>
    <w:rsid w:val="00BE7C09"/>
    <w:rsid w:val="00BF5E68"/>
    <w:rsid w:val="00C001AF"/>
    <w:rsid w:val="00C00C15"/>
    <w:rsid w:val="00C26A50"/>
    <w:rsid w:val="00C26D28"/>
    <w:rsid w:val="00C3018C"/>
    <w:rsid w:val="00C34C8D"/>
    <w:rsid w:val="00C35E5D"/>
    <w:rsid w:val="00C4454F"/>
    <w:rsid w:val="00C53A73"/>
    <w:rsid w:val="00C66A55"/>
    <w:rsid w:val="00C75288"/>
    <w:rsid w:val="00C86D1F"/>
    <w:rsid w:val="00C919F5"/>
    <w:rsid w:val="00C96954"/>
    <w:rsid w:val="00CB5988"/>
    <w:rsid w:val="00CC227B"/>
    <w:rsid w:val="00CC36D6"/>
    <w:rsid w:val="00CD3991"/>
    <w:rsid w:val="00CE23CB"/>
    <w:rsid w:val="00CF4AC7"/>
    <w:rsid w:val="00D04DD7"/>
    <w:rsid w:val="00D128CE"/>
    <w:rsid w:val="00D207EC"/>
    <w:rsid w:val="00D34359"/>
    <w:rsid w:val="00D43AB7"/>
    <w:rsid w:val="00D528F2"/>
    <w:rsid w:val="00D54076"/>
    <w:rsid w:val="00D65936"/>
    <w:rsid w:val="00D7155A"/>
    <w:rsid w:val="00D80A7A"/>
    <w:rsid w:val="00D85E3A"/>
    <w:rsid w:val="00DA1D00"/>
    <w:rsid w:val="00DB0B9F"/>
    <w:rsid w:val="00DB33CD"/>
    <w:rsid w:val="00DB35EC"/>
    <w:rsid w:val="00DD3C46"/>
    <w:rsid w:val="00DD5FE2"/>
    <w:rsid w:val="00DE3A51"/>
    <w:rsid w:val="00DF3F23"/>
    <w:rsid w:val="00DF41B1"/>
    <w:rsid w:val="00E31494"/>
    <w:rsid w:val="00E44310"/>
    <w:rsid w:val="00E44865"/>
    <w:rsid w:val="00E71ED3"/>
    <w:rsid w:val="00E72F07"/>
    <w:rsid w:val="00E85C24"/>
    <w:rsid w:val="00E95EFD"/>
    <w:rsid w:val="00E96904"/>
    <w:rsid w:val="00EB1234"/>
    <w:rsid w:val="00EB291E"/>
    <w:rsid w:val="00EB45F5"/>
    <w:rsid w:val="00EC1A60"/>
    <w:rsid w:val="00EC3AAD"/>
    <w:rsid w:val="00ED48AC"/>
    <w:rsid w:val="00EE11DB"/>
    <w:rsid w:val="00EE3A2E"/>
    <w:rsid w:val="00EE3EFA"/>
    <w:rsid w:val="00EE6F33"/>
    <w:rsid w:val="00EF094C"/>
    <w:rsid w:val="00EF3994"/>
    <w:rsid w:val="00EF5DF2"/>
    <w:rsid w:val="00EF7DF0"/>
    <w:rsid w:val="00F01B34"/>
    <w:rsid w:val="00F04080"/>
    <w:rsid w:val="00F174AA"/>
    <w:rsid w:val="00F24327"/>
    <w:rsid w:val="00F45985"/>
    <w:rsid w:val="00F4698A"/>
    <w:rsid w:val="00F61BF6"/>
    <w:rsid w:val="00F67202"/>
    <w:rsid w:val="00F67CF9"/>
    <w:rsid w:val="00F712A3"/>
    <w:rsid w:val="00F74D55"/>
    <w:rsid w:val="00F85F70"/>
    <w:rsid w:val="00F94379"/>
    <w:rsid w:val="00F95519"/>
    <w:rsid w:val="00FC2A66"/>
    <w:rsid w:val="00FC7410"/>
    <w:rsid w:val="00FD3F27"/>
    <w:rsid w:val="00FD65DE"/>
    <w:rsid w:val="00FD7ADE"/>
    <w:rsid w:val="00FE117A"/>
    <w:rsid w:val="00FE202F"/>
    <w:rsid w:val="00FE58E6"/>
    <w:rsid w:val="00FE688D"/>
    <w:rsid w:val="00FE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5EA9"/>
  <w15:docId w15:val="{710A5795-D2ED-47F2-8A56-9B45478A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AA"/>
    <w:rPr>
      <w:rFonts w:ascii="Times New Roman" w:eastAsia="Times New Roman" w:hAnsi="Times New Roman"/>
      <w:sz w:val="24"/>
      <w:szCs w:val="24"/>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loteksta">
    <w:name w:val="Body Text"/>
    <w:basedOn w:val="Normal"/>
    <w:link w:val="TelotekstaChar"/>
    <w:rsid w:val="00CB5988"/>
    <w:pPr>
      <w:jc w:val="both"/>
    </w:pPr>
    <w:rPr>
      <w:b/>
      <w:color w:val="0000FF"/>
      <w:lang w:val="sr-Cyrl-CS"/>
    </w:rPr>
  </w:style>
  <w:style w:type="character" w:customStyle="1" w:styleId="TelotekstaChar">
    <w:name w:val="Telo teksta Char"/>
    <w:link w:val="Teloteksta"/>
    <w:rsid w:val="00CB5988"/>
    <w:rPr>
      <w:rFonts w:ascii="Times New Roman" w:eastAsia="Times New Roman" w:hAnsi="Times New Roman" w:cs="Times New Roman"/>
      <w:b/>
      <w:color w:val="0000FF"/>
      <w:sz w:val="24"/>
      <w:szCs w:val="24"/>
      <w:lang w:val="sr-Cyrl-CS"/>
    </w:rPr>
  </w:style>
  <w:style w:type="paragraph" w:styleId="Pasussalistom">
    <w:name w:val="List Paragraph"/>
    <w:basedOn w:val="Normal"/>
    <w:uiPriority w:val="34"/>
    <w:qFormat/>
    <w:rsid w:val="002C395E"/>
    <w:pPr>
      <w:ind w:left="720"/>
      <w:contextualSpacing/>
    </w:pPr>
  </w:style>
  <w:style w:type="table" w:styleId="Koordinatnamreatabele">
    <w:name w:val="Table Grid"/>
    <w:basedOn w:val="Normalnatabela"/>
    <w:uiPriority w:val="59"/>
    <w:rsid w:val="00814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ubaloniu">
    <w:name w:val="Balloon Text"/>
    <w:basedOn w:val="Normal"/>
    <w:link w:val="TekstubaloniuChar"/>
    <w:uiPriority w:val="99"/>
    <w:semiHidden/>
    <w:unhideWhenUsed/>
    <w:rsid w:val="0041383E"/>
    <w:rPr>
      <w:rFonts w:ascii="Tahoma" w:hAnsi="Tahoma" w:cs="Tahoma"/>
      <w:sz w:val="16"/>
      <w:szCs w:val="16"/>
    </w:rPr>
  </w:style>
  <w:style w:type="character" w:customStyle="1" w:styleId="TekstubaloniuChar">
    <w:name w:val="Tekst u balončiću Char"/>
    <w:link w:val="Tekstubaloniu"/>
    <w:uiPriority w:val="99"/>
    <w:semiHidden/>
    <w:rsid w:val="0041383E"/>
    <w:rPr>
      <w:rFonts w:ascii="Tahoma" w:eastAsia="Times New Roman" w:hAnsi="Tahoma" w:cs="Tahoma"/>
      <w:sz w:val="16"/>
      <w:szCs w:val="16"/>
      <w:lang w:val="en-US"/>
    </w:rPr>
  </w:style>
  <w:style w:type="paragraph" w:customStyle="1" w:styleId="TableContents">
    <w:name w:val="Table Contents"/>
    <w:basedOn w:val="Normal"/>
    <w:rsid w:val="003B79BD"/>
    <w:pPr>
      <w:suppressLineNumbers/>
      <w:suppressAutoHyphens/>
    </w:pPr>
    <w:rPr>
      <w:lang w:val="sr-Latn-CS" w:eastAsia="ar-SA"/>
    </w:rPr>
  </w:style>
  <w:style w:type="paragraph" w:customStyle="1" w:styleId="Normal1">
    <w:name w:val="Normal1"/>
    <w:basedOn w:val="Normal"/>
    <w:rsid w:val="003B79BD"/>
    <w:pPr>
      <w:spacing w:before="100" w:beforeAutospacing="1" w:after="100" w:afterAutospacing="1"/>
    </w:pPr>
    <w:rPr>
      <w:rFonts w:ascii="Arial" w:hAnsi="Arial" w:cs="Arial"/>
      <w:sz w:val="22"/>
      <w:szCs w:val="22"/>
    </w:rPr>
  </w:style>
  <w:style w:type="character" w:styleId="Referencakomentara">
    <w:name w:val="annotation reference"/>
    <w:basedOn w:val="Podrazumevanifontpasusa"/>
    <w:uiPriority w:val="99"/>
    <w:semiHidden/>
    <w:unhideWhenUsed/>
    <w:rsid w:val="00B03B36"/>
    <w:rPr>
      <w:sz w:val="16"/>
      <w:szCs w:val="16"/>
    </w:rPr>
  </w:style>
  <w:style w:type="paragraph" w:styleId="Tekstkomentara">
    <w:name w:val="annotation text"/>
    <w:basedOn w:val="Normal"/>
    <w:link w:val="TekstkomentaraChar"/>
    <w:uiPriority w:val="99"/>
    <w:semiHidden/>
    <w:unhideWhenUsed/>
    <w:rsid w:val="00B03B36"/>
    <w:rPr>
      <w:sz w:val="20"/>
      <w:szCs w:val="20"/>
    </w:rPr>
  </w:style>
  <w:style w:type="character" w:customStyle="1" w:styleId="TekstkomentaraChar">
    <w:name w:val="Tekst komentara Char"/>
    <w:basedOn w:val="Podrazumevanifontpasusa"/>
    <w:link w:val="Tekstkomentara"/>
    <w:uiPriority w:val="99"/>
    <w:semiHidden/>
    <w:rsid w:val="00B03B36"/>
    <w:rPr>
      <w:rFonts w:ascii="Times New Roman" w:eastAsia="Times New Roman" w:hAnsi="Times New Roman"/>
    </w:rPr>
  </w:style>
  <w:style w:type="paragraph" w:styleId="Temakomentara">
    <w:name w:val="annotation subject"/>
    <w:basedOn w:val="Tekstkomentara"/>
    <w:next w:val="Tekstkomentara"/>
    <w:link w:val="TemakomentaraChar"/>
    <w:uiPriority w:val="99"/>
    <w:semiHidden/>
    <w:unhideWhenUsed/>
    <w:rsid w:val="00B03B36"/>
    <w:rPr>
      <w:b/>
      <w:bCs/>
    </w:rPr>
  </w:style>
  <w:style w:type="character" w:customStyle="1" w:styleId="TemakomentaraChar">
    <w:name w:val="Tema komentara Char"/>
    <w:basedOn w:val="TekstkomentaraChar"/>
    <w:link w:val="Temakomentara"/>
    <w:uiPriority w:val="99"/>
    <w:semiHidden/>
    <w:rsid w:val="00B03B36"/>
    <w:rPr>
      <w:rFonts w:ascii="Times New Roman" w:eastAsia="Times New Roman" w:hAnsi="Times New Roman"/>
      <w:b/>
      <w:bCs/>
    </w:rPr>
  </w:style>
  <w:style w:type="character" w:styleId="Naglaeno">
    <w:name w:val="Strong"/>
    <w:basedOn w:val="Podrazumevanifontpasusa"/>
    <w:uiPriority w:val="22"/>
    <w:qFormat/>
    <w:rsid w:val="00251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52885">
      <w:bodyDiv w:val="1"/>
      <w:marLeft w:val="0"/>
      <w:marRight w:val="0"/>
      <w:marTop w:val="0"/>
      <w:marBottom w:val="0"/>
      <w:divBdr>
        <w:top w:val="none" w:sz="0" w:space="0" w:color="auto"/>
        <w:left w:val="none" w:sz="0" w:space="0" w:color="auto"/>
        <w:bottom w:val="none" w:sz="0" w:space="0" w:color="auto"/>
        <w:right w:val="none" w:sz="0" w:space="0" w:color="auto"/>
      </w:divBdr>
    </w:div>
    <w:div w:id="856653042">
      <w:bodyDiv w:val="1"/>
      <w:marLeft w:val="0"/>
      <w:marRight w:val="0"/>
      <w:marTop w:val="0"/>
      <w:marBottom w:val="0"/>
      <w:divBdr>
        <w:top w:val="none" w:sz="0" w:space="0" w:color="auto"/>
        <w:left w:val="none" w:sz="0" w:space="0" w:color="auto"/>
        <w:bottom w:val="none" w:sz="0" w:space="0" w:color="auto"/>
        <w:right w:val="none" w:sz="0" w:space="0" w:color="auto"/>
      </w:divBdr>
    </w:div>
    <w:div w:id="1611816867">
      <w:bodyDiv w:val="1"/>
      <w:marLeft w:val="0"/>
      <w:marRight w:val="0"/>
      <w:marTop w:val="0"/>
      <w:marBottom w:val="0"/>
      <w:divBdr>
        <w:top w:val="none" w:sz="0" w:space="0" w:color="auto"/>
        <w:left w:val="none" w:sz="0" w:space="0" w:color="auto"/>
        <w:bottom w:val="none" w:sz="0" w:space="0" w:color="auto"/>
        <w:right w:val="none" w:sz="0" w:space="0" w:color="auto"/>
      </w:divBdr>
    </w:div>
    <w:div w:id="171188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C4E96-2C83-4FA7-8844-257F00167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На основу Решења о банкротству  стечајног судије Привредног суда у Суботици, број предмета Ст</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Решења о банкротству  стечајног судије Привредног суда у Суботици, број предмета Ст</dc:title>
  <dc:creator>zds-ogranak</dc:creator>
  <cp:lastModifiedBy>User</cp:lastModifiedBy>
  <cp:revision>2</cp:revision>
  <cp:lastPrinted>2019-10-30T13:50:00Z</cp:lastPrinted>
  <dcterms:created xsi:type="dcterms:W3CDTF">2025-08-15T06:57:00Z</dcterms:created>
  <dcterms:modified xsi:type="dcterms:W3CDTF">2025-08-15T06:57:00Z</dcterms:modified>
</cp:coreProperties>
</file>